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479" w:lineRule="exact"/>
        <w:ind w:left="20" w:right="0" w:firstLine="0"/>
        <w:jc w:val="center"/>
        <w:rPr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广东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b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职业健康安全体系绩效情况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40"/>
          <w:szCs w:val="4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592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2024年，公司制定了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严重及以上安全事故为0宗、一般安全事故为≤0.5宗/百人、现场检查被处罚数为0次、特重大事故隐患整改率为100%、职业病例为0宗等目标。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638"/>
        <w:jc w:val="both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14"/>
          <w:w w:val="95"/>
          <w:sz w:val="28"/>
          <w:szCs w:val="28"/>
        </w:rPr>
        <w:t>一年来，公司按照职业健康安全管理体系要求，下发</w:t>
      </w:r>
      <w:r>
        <w:rPr>
          <w:rFonts w:hint="eastAsia" w:ascii="楷体" w:hAnsi="楷体" w:eastAsia="楷体" w:cs="楷体"/>
          <w:spacing w:val="12"/>
          <w:w w:val="95"/>
          <w:sz w:val="28"/>
          <w:szCs w:val="28"/>
        </w:rPr>
        <w:t>年度安全要点工作计划，制定并下发公司年度职业健康安</w:t>
      </w:r>
      <w:r>
        <w:rPr>
          <w:rFonts w:hint="eastAsia" w:ascii="楷体" w:hAnsi="楷体" w:eastAsia="楷体" w:cs="楷体"/>
          <w:spacing w:val="11"/>
          <w:w w:val="95"/>
          <w:sz w:val="28"/>
          <w:szCs w:val="28"/>
        </w:rPr>
        <w:t>全环保绩效考核办法，通过组织安全风险辨识评价、安全隐患排查整改、安全教育培训、本质化安全提升及标准化管理实施等方面工作的落实落地，职业健康安全管理体系</w:t>
      </w:r>
      <w:r>
        <w:rPr>
          <w:rFonts w:hint="eastAsia" w:ascii="楷体" w:hAnsi="楷体" w:eastAsia="楷体" w:cs="楷体"/>
          <w:spacing w:val="16"/>
          <w:sz w:val="28"/>
          <w:szCs w:val="28"/>
        </w:rPr>
        <w:t>得到了有效运行。组织层层签订</w:t>
      </w:r>
      <w:r>
        <w:rPr>
          <w:rFonts w:hint="eastAsia" w:ascii="楷体" w:hAnsi="楷体" w:eastAsia="楷体" w:cs="楷体"/>
          <w:sz w:val="28"/>
          <w:szCs w:val="28"/>
        </w:rPr>
        <w:t>2024</w:t>
      </w:r>
      <w:r>
        <w:rPr>
          <w:rFonts w:hint="eastAsia" w:ascii="楷体" w:hAnsi="楷体" w:eastAsia="楷体" w:cs="楷体"/>
          <w:spacing w:val="8"/>
          <w:sz w:val="28"/>
          <w:szCs w:val="28"/>
        </w:rPr>
        <w:t>年安全生产责任状，</w:t>
      </w:r>
      <w:r>
        <w:rPr>
          <w:rFonts w:hint="eastAsia" w:ascii="楷体" w:hAnsi="楷体" w:eastAsia="楷体" w:cs="楷体"/>
          <w:spacing w:val="11"/>
          <w:w w:val="95"/>
          <w:sz w:val="28"/>
          <w:szCs w:val="28"/>
        </w:rPr>
        <w:t>进一步压实全员安全环保责任；组织完成《职业病危害防治责任制度》</w:t>
      </w:r>
      <w:r>
        <w:rPr>
          <w:rFonts w:hint="eastAsia" w:ascii="楷体" w:hAnsi="楷体" w:eastAsia="楷体" w:cs="楷体"/>
          <w:spacing w:val="11"/>
          <w:w w:val="95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spacing w:val="11"/>
          <w:w w:val="95"/>
          <w:sz w:val="28"/>
          <w:szCs w:val="28"/>
        </w:rPr>
        <w:t>《安全生产事故报告和调查处理管理办法》等</w:t>
      </w:r>
      <w:r>
        <w:rPr>
          <w:rFonts w:hint="eastAsia" w:ascii="楷体" w:hAnsi="楷体" w:eastAsia="楷体" w:cs="楷体"/>
          <w:spacing w:val="3"/>
          <w:w w:val="95"/>
          <w:sz w:val="28"/>
          <w:szCs w:val="28"/>
        </w:rPr>
        <w:t>13</w:t>
      </w:r>
      <w:r>
        <w:rPr>
          <w:rFonts w:hint="eastAsia" w:ascii="楷体" w:hAnsi="楷体" w:eastAsia="楷体" w:cs="楷体"/>
          <w:spacing w:val="12"/>
          <w:w w:val="95"/>
          <w:sz w:val="28"/>
          <w:szCs w:val="28"/>
        </w:rPr>
        <w:t>项职业健康安全环保制度的制定、修订、评审、印发</w:t>
      </w:r>
      <w:r>
        <w:rPr>
          <w:rFonts w:hint="eastAsia" w:ascii="楷体" w:hAnsi="楷体" w:eastAsia="楷体" w:cs="楷体"/>
          <w:spacing w:val="11"/>
          <w:w w:val="95"/>
          <w:sz w:val="28"/>
          <w:szCs w:val="28"/>
        </w:rPr>
        <w:t>工作；深入推进安全生产标准化建设，广东中亚铝业有限</w:t>
      </w:r>
      <w:r>
        <w:rPr>
          <w:rFonts w:hint="eastAsia" w:ascii="楷体" w:hAnsi="楷体" w:eastAsia="楷体" w:cs="楷体"/>
          <w:spacing w:val="9"/>
          <w:sz w:val="28"/>
          <w:szCs w:val="28"/>
        </w:rPr>
        <w:t>公司通过专家评审，取得安全生产标准化三级企业</w:t>
      </w:r>
      <w:r>
        <w:rPr>
          <w:rFonts w:hint="eastAsia" w:ascii="楷体" w:hAnsi="楷体" w:eastAsia="楷体" w:cs="楷体"/>
          <w:spacing w:val="7"/>
          <w:sz w:val="28"/>
          <w:szCs w:val="28"/>
        </w:rPr>
        <w:t>证书，公司积极开展隐患排查工作，识别出</w:t>
      </w:r>
      <w:r>
        <w:rPr>
          <w:rFonts w:hint="eastAsia" w:ascii="楷体" w:hAnsi="楷体" w:eastAsia="楷体" w:cs="楷体"/>
          <w:sz w:val="28"/>
          <w:szCs w:val="28"/>
        </w:rPr>
        <w:t>86</w:t>
      </w:r>
      <w:r>
        <w:rPr>
          <w:rFonts w:hint="eastAsia" w:ascii="楷体" w:hAnsi="楷体" w:eastAsia="楷体" w:cs="楷体"/>
          <w:spacing w:val="21"/>
          <w:sz w:val="28"/>
          <w:szCs w:val="28"/>
        </w:rPr>
        <w:t>项隐患，</w:t>
      </w:r>
      <w:r>
        <w:rPr>
          <w:rFonts w:hint="eastAsia" w:ascii="楷体" w:hAnsi="楷体" w:eastAsia="楷体" w:cs="楷体"/>
          <w:spacing w:val="8"/>
          <w:w w:val="95"/>
          <w:sz w:val="28"/>
          <w:szCs w:val="28"/>
        </w:rPr>
        <w:t>并整改完成，未发现重大隐患；制定计划并实施安全演练，</w:t>
      </w:r>
      <w:r>
        <w:rPr>
          <w:rFonts w:hint="eastAsia" w:ascii="楷体" w:hAnsi="楷体" w:eastAsia="楷体" w:cs="楷体"/>
          <w:spacing w:val="14"/>
          <w:sz w:val="28"/>
          <w:szCs w:val="28"/>
        </w:rPr>
        <w:t xml:space="preserve">开展各类应急演练 </w:t>
      </w:r>
      <w:r>
        <w:rPr>
          <w:rFonts w:hint="eastAsia" w:ascii="楷体" w:hAnsi="楷体" w:eastAsia="楷体" w:cs="楷体"/>
          <w:sz w:val="28"/>
          <w:szCs w:val="28"/>
        </w:rPr>
        <w:t>25</w:t>
      </w:r>
      <w:r>
        <w:rPr>
          <w:rFonts w:hint="eastAsia" w:ascii="楷体" w:hAnsi="楷体" w:eastAsia="楷体" w:cs="楷体"/>
          <w:spacing w:val="57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pacing w:val="1"/>
          <w:sz w:val="28"/>
          <w:szCs w:val="28"/>
        </w:rPr>
        <w:t>次，共计</w:t>
      </w:r>
      <w:r>
        <w:rPr>
          <w:rFonts w:hint="eastAsia" w:ascii="楷体" w:hAnsi="楷体" w:eastAsia="楷体" w:cs="楷体"/>
          <w:sz w:val="28"/>
          <w:szCs w:val="28"/>
        </w:rPr>
        <w:t>1500</w:t>
      </w:r>
      <w:r>
        <w:rPr>
          <w:rFonts w:hint="eastAsia" w:ascii="楷体" w:hAnsi="楷体" w:eastAsia="楷体" w:cs="楷体"/>
          <w:spacing w:val="4"/>
          <w:sz w:val="28"/>
          <w:szCs w:val="28"/>
        </w:rPr>
        <w:t>多人次参加，不断提</w:t>
      </w:r>
      <w:r>
        <w:rPr>
          <w:rFonts w:hint="eastAsia" w:ascii="楷体" w:hAnsi="楷体" w:eastAsia="楷体" w:cs="楷体"/>
          <w:spacing w:val="-1"/>
          <w:sz w:val="28"/>
          <w:szCs w:val="28"/>
        </w:rPr>
        <w:t xml:space="preserve">升员工应急响应及处理能力。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626"/>
        <w:jc w:val="both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pacing w:val="4"/>
          <w:sz w:val="28"/>
          <w:szCs w:val="28"/>
        </w:rPr>
        <w:t>2024</w:t>
      </w:r>
      <w:r>
        <w:rPr>
          <w:rFonts w:hint="eastAsia" w:ascii="楷体" w:hAnsi="楷体" w:eastAsia="楷体" w:cs="楷体"/>
          <w:spacing w:val="11"/>
          <w:sz w:val="28"/>
          <w:szCs w:val="28"/>
        </w:rPr>
        <w:t>年，公司全员安全持证上岗</w:t>
      </w:r>
      <w:r>
        <w:rPr>
          <w:rFonts w:hint="eastAsia" w:ascii="楷体" w:hAnsi="楷体" w:eastAsia="楷体" w:cs="楷体"/>
          <w:spacing w:val="5"/>
          <w:sz w:val="28"/>
          <w:szCs w:val="28"/>
        </w:rPr>
        <w:t>100%</w:t>
      </w:r>
      <w:r>
        <w:rPr>
          <w:rFonts w:hint="eastAsia" w:ascii="楷体" w:hAnsi="楷体" w:eastAsia="楷体" w:cs="楷体"/>
          <w:spacing w:val="7"/>
          <w:sz w:val="28"/>
          <w:szCs w:val="28"/>
        </w:rPr>
        <w:t>，全员健康体检</w:t>
      </w:r>
      <w:r>
        <w:rPr>
          <w:rFonts w:hint="eastAsia" w:ascii="楷体" w:hAnsi="楷体" w:eastAsia="楷体" w:cs="楷体"/>
          <w:spacing w:val="23"/>
          <w:sz w:val="28"/>
          <w:szCs w:val="28"/>
        </w:rPr>
        <w:t>覆盖率</w:t>
      </w:r>
      <w:r>
        <w:rPr>
          <w:rFonts w:hint="eastAsia" w:ascii="楷体" w:hAnsi="楷体" w:eastAsia="楷体" w:cs="楷体"/>
          <w:spacing w:val="16"/>
          <w:sz w:val="28"/>
          <w:szCs w:val="28"/>
        </w:rPr>
        <w:t>100%</w:t>
      </w:r>
      <w:r>
        <w:rPr>
          <w:rFonts w:hint="eastAsia" w:ascii="楷体" w:hAnsi="楷体" w:eastAsia="楷体" w:cs="楷体"/>
          <w:spacing w:val="20"/>
          <w:sz w:val="28"/>
          <w:szCs w:val="28"/>
        </w:rPr>
        <w:t>，接触职业病危害因素的员工职业健康体检</w:t>
      </w:r>
      <w:r>
        <w:rPr>
          <w:rFonts w:hint="eastAsia" w:ascii="楷体" w:hAnsi="楷体" w:eastAsia="楷体" w:cs="楷体"/>
          <w:spacing w:val="4"/>
          <w:sz w:val="28"/>
          <w:szCs w:val="28"/>
        </w:rPr>
        <w:t>覆盖率</w:t>
      </w:r>
      <w:r>
        <w:rPr>
          <w:rFonts w:hint="eastAsia" w:ascii="楷体" w:hAnsi="楷体" w:eastAsia="楷体" w:cs="楷体"/>
          <w:spacing w:val="6"/>
          <w:sz w:val="28"/>
          <w:szCs w:val="28"/>
        </w:rPr>
        <w:t>100%</w:t>
      </w:r>
      <w:r>
        <w:rPr>
          <w:rFonts w:hint="eastAsia" w:ascii="楷体" w:hAnsi="楷体" w:eastAsia="楷体" w:cs="楷体"/>
          <w:spacing w:val="15"/>
          <w:sz w:val="28"/>
          <w:szCs w:val="28"/>
        </w:rPr>
        <w:t>，安全生产目标均全面达成。公司秉承</w:t>
      </w:r>
      <w:r>
        <w:rPr>
          <w:rFonts w:hint="eastAsia" w:ascii="楷体" w:hAnsi="楷体" w:eastAsia="楷体" w:cs="楷体"/>
          <w:spacing w:val="19"/>
          <w:sz w:val="28"/>
          <w:szCs w:val="28"/>
        </w:rPr>
        <w:t>“</w:t>
      </w:r>
      <w:r>
        <w:rPr>
          <w:rFonts w:hint="eastAsia" w:ascii="楷体" w:hAnsi="楷体" w:eastAsia="楷体" w:cs="楷体"/>
          <w:spacing w:val="16"/>
          <w:sz w:val="28"/>
          <w:szCs w:val="28"/>
        </w:rPr>
        <w:t>一切</w:t>
      </w:r>
      <w:r>
        <w:rPr>
          <w:rFonts w:hint="eastAsia" w:ascii="楷体" w:hAnsi="楷体" w:eastAsia="楷体" w:cs="楷体"/>
          <w:spacing w:val="19"/>
          <w:sz w:val="28"/>
          <w:szCs w:val="28"/>
        </w:rPr>
        <w:t>风险皆可控制，一切事故</w:t>
      </w:r>
      <w:bookmarkStart w:id="0" w:name="_GoBack"/>
      <w:bookmarkEnd w:id="0"/>
      <w:r>
        <w:rPr>
          <w:rFonts w:hint="eastAsia" w:ascii="楷体" w:hAnsi="楷体" w:eastAsia="楷体" w:cs="楷体"/>
          <w:spacing w:val="19"/>
          <w:sz w:val="28"/>
          <w:szCs w:val="28"/>
        </w:rPr>
        <w:t>皆可预防</w:t>
      </w:r>
      <w:r>
        <w:rPr>
          <w:rFonts w:hint="eastAsia" w:ascii="楷体" w:hAnsi="楷体" w:eastAsia="楷体" w:cs="楷体"/>
          <w:spacing w:val="20"/>
          <w:sz w:val="28"/>
          <w:szCs w:val="28"/>
        </w:rPr>
        <w:t>”</w:t>
      </w:r>
      <w:r>
        <w:rPr>
          <w:rFonts w:hint="eastAsia" w:ascii="楷体" w:hAnsi="楷体" w:eastAsia="楷体" w:cs="楷体"/>
          <w:spacing w:val="16"/>
          <w:sz w:val="28"/>
          <w:szCs w:val="28"/>
        </w:rPr>
        <w:t>的理念，打造完善的</w:t>
      </w:r>
      <w:r>
        <w:rPr>
          <w:rFonts w:hint="eastAsia" w:ascii="楷体" w:hAnsi="楷体" w:eastAsia="楷体" w:cs="楷体"/>
          <w:spacing w:val="14"/>
          <w:sz w:val="28"/>
          <w:szCs w:val="28"/>
        </w:rPr>
        <w:t>职业健康安全管理体系，公司</w:t>
      </w:r>
      <w:r>
        <w:rPr>
          <w:rFonts w:hint="eastAsia" w:ascii="楷体" w:hAnsi="楷体" w:eastAsia="楷体" w:cs="楷体"/>
          <w:sz w:val="28"/>
          <w:szCs w:val="28"/>
        </w:rPr>
        <w:t>100</w:t>
      </w:r>
      <w:r>
        <w:rPr>
          <w:rFonts w:hint="eastAsia" w:ascii="楷体" w:hAnsi="楷体" w:eastAsia="楷体" w:cs="楷体"/>
          <w:spacing w:val="29"/>
          <w:sz w:val="28"/>
          <w:szCs w:val="28"/>
        </w:rPr>
        <w:t>%</w:t>
      </w:r>
      <w:r>
        <w:rPr>
          <w:rFonts w:hint="eastAsia" w:ascii="楷体" w:hAnsi="楷体" w:eastAsia="楷体" w:cs="楷体"/>
          <w:spacing w:val="-3"/>
          <w:sz w:val="28"/>
          <w:szCs w:val="28"/>
        </w:rPr>
        <w:t>获得</w:t>
      </w:r>
      <w:r>
        <w:rPr>
          <w:rFonts w:hint="eastAsia" w:ascii="楷体" w:hAnsi="楷体" w:eastAsia="楷体" w:cs="楷体"/>
          <w:sz w:val="28"/>
          <w:szCs w:val="28"/>
        </w:rPr>
        <w:t>ISO45001</w:t>
      </w:r>
      <w:r>
        <w:rPr>
          <w:rFonts w:hint="eastAsia" w:ascii="楷体" w:hAnsi="楷体" w:eastAsia="楷体" w:cs="楷体"/>
          <w:spacing w:val="12"/>
          <w:sz w:val="28"/>
          <w:szCs w:val="28"/>
        </w:rPr>
        <w:t>职业</w:t>
      </w:r>
      <w:r>
        <w:rPr>
          <w:rFonts w:hint="eastAsia" w:ascii="楷体" w:hAnsi="楷体" w:eastAsia="楷体" w:cs="楷体"/>
          <w:spacing w:val="12"/>
          <w:w w:val="95"/>
          <w:sz w:val="28"/>
          <w:szCs w:val="28"/>
        </w:rPr>
        <w:t>健康安全认证的同时，全面推行职业健康安全标准化管理</w:t>
      </w:r>
      <w:r>
        <w:rPr>
          <w:rFonts w:hint="eastAsia" w:ascii="楷体" w:hAnsi="楷体" w:eastAsia="楷体" w:cs="楷体"/>
          <w:spacing w:val="9"/>
          <w:sz w:val="28"/>
          <w:szCs w:val="28"/>
        </w:rPr>
        <w:t>体系，职业健康安全体系的建立与运行走在行业前列，各</w:t>
      </w:r>
      <w:r>
        <w:rPr>
          <w:rFonts w:hint="eastAsia" w:ascii="楷体" w:hAnsi="楷体" w:eastAsia="楷体" w:cs="楷体"/>
          <w:spacing w:val="-3"/>
          <w:sz w:val="28"/>
          <w:szCs w:val="28"/>
        </w:rPr>
        <w:t xml:space="preserve">项指标的完成处于行业领先水平。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15" w:lineRule="auto"/>
        <w:ind w:left="0" w:right="0" w:hanging="965"/>
        <w:jc w:val="right"/>
        <w:textAlignment w:val="auto"/>
        <w:rPr>
          <w:rFonts w:hint="eastAsia" w:ascii="楷体" w:hAnsi="楷体" w:eastAsia="楷体" w:cs="楷体"/>
          <w:b/>
          <w:bCs/>
          <w:w w:val="95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w w:val="95"/>
          <w:sz w:val="28"/>
          <w:szCs w:val="28"/>
        </w:rPr>
        <w:t>广东</w:t>
      </w:r>
      <w:r>
        <w:rPr>
          <w:rFonts w:hint="eastAsia" w:ascii="楷体" w:hAnsi="楷体" w:eastAsia="楷体" w:cs="楷体"/>
          <w:b/>
          <w:bCs/>
          <w:w w:val="95"/>
          <w:sz w:val="28"/>
          <w:szCs w:val="28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b/>
          <w:bCs/>
          <w:w w:val="95"/>
          <w:sz w:val="28"/>
          <w:szCs w:val="28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15" w:lineRule="auto"/>
        <w:ind w:left="0" w:right="0" w:hanging="965"/>
        <w:jc w:val="righ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w w:val="95"/>
          <w:sz w:val="28"/>
          <w:szCs w:val="28"/>
        </w:rPr>
        <w:t>2025年01月05日</w:t>
      </w:r>
      <w:r>
        <w:rPr>
          <w:rFonts w:hint="eastAsia" w:ascii="楷体" w:hAnsi="楷体" w:eastAsia="楷体" w:cs="楷体"/>
          <w:w w:val="95"/>
          <w:sz w:val="28"/>
          <w:szCs w:val="28"/>
        </w:rPr>
        <w:t xml:space="preserve"> </w:t>
      </w:r>
    </w:p>
    <w:sectPr>
      <w:headerReference r:id="rId3" w:type="default"/>
      <w:pgSz w:w="11920" w:h="16850"/>
      <w:pgMar w:top="1015" w:right="1380" w:bottom="1128" w:left="1680" w:header="806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4097" o:spid="_x0000_s4097" o:spt="202" type="#_x0000_t202" style="position:absolute;left:0pt;margin-left:92.2pt;margin-top:39.25pt;height:24pt;width:421.25pt;mso-position-horizontal-relative:page;mso-position-vertical-relative:page;z-index:-25170124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/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D966916"/>
    <w:rsid w:val="15841175"/>
    <w:rsid w:val="683004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2025-09-08T06:26:00Z</dcterms:created>
  <dc:creator>杨正兴</dc:creator>
  <cp:lastModifiedBy>JM018169</cp:lastModifiedBy>
  <dcterms:modified xsi:type="dcterms:W3CDTF">2025-09-28T01:47:06Z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