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line="360" w:lineRule="auto"/>
        <w:ind w:right="177"/>
        <w:textAlignment w:val="auto"/>
        <w:rPr>
          <w:rFonts w:hint="eastAsia" w:ascii="楷体" w:hAnsi="楷体" w:eastAsia="楷体" w:cs="楷体"/>
        </w:rPr>
      </w:pPr>
    </w:p>
    <w:p>
      <w:pPr>
        <w:pStyle w:val="2"/>
        <w:keepNext w:val="0"/>
        <w:keepLines w:val="0"/>
        <w:pageBreakBefore w:val="0"/>
        <w:widowControl w:val="0"/>
        <w:kinsoku/>
        <w:wordWrap/>
        <w:overflowPunct/>
        <w:topLinePunct w:val="0"/>
        <w:autoSpaceDE w:val="0"/>
        <w:autoSpaceDN w:val="0"/>
        <w:bidi w:val="0"/>
        <w:adjustRightInd/>
        <w:snapToGrid/>
        <w:spacing w:line="360" w:lineRule="auto"/>
        <w:ind w:right="177"/>
        <w:textAlignment w:val="auto"/>
        <w:rPr>
          <w:color w:val="auto"/>
        </w:rPr>
      </w:pPr>
      <w:r>
        <w:rPr>
          <w:rFonts w:hint="eastAsia" w:ascii="楷体" w:hAnsi="楷体" w:eastAsia="楷体" w:cs="楷体"/>
        </w:rPr>
        <w:t>一、地理位置：公司位于广东省</w:t>
      </w:r>
      <w:r>
        <w:rPr>
          <w:rFonts w:hint="eastAsia" w:ascii="楷体" w:hAnsi="楷体" w:eastAsia="楷体" w:cs="楷体"/>
          <w:lang w:val="en-US" w:eastAsia="zh-CN"/>
        </w:rPr>
        <w:t>佛山市南海区狮山镇小塘南海有色金属产业园</w:t>
      </w:r>
      <w:r>
        <w:rPr>
          <w:rFonts w:hint="eastAsia" w:ascii="楷体" w:hAnsi="楷体" w:eastAsia="楷体" w:cs="楷体"/>
          <w:b w:val="0"/>
          <w:bCs w:val="0"/>
          <w:color w:val="auto"/>
        </w:rPr>
        <w:t>(中心地理坐标:N:23°</w:t>
      </w:r>
      <w:r>
        <w:rPr>
          <w:rFonts w:hint="eastAsia" w:ascii="楷体" w:hAnsi="楷体" w:eastAsia="楷体" w:cs="楷体"/>
          <w:b w:val="0"/>
          <w:bCs w:val="0"/>
          <w:color w:val="auto"/>
          <w:lang w:val="en-US" w:eastAsia="zh-CN"/>
        </w:rPr>
        <w:t>10</w:t>
      </w:r>
      <w:r>
        <w:rPr>
          <w:rFonts w:hint="eastAsia" w:ascii="楷体" w:hAnsi="楷体" w:eastAsia="楷体" w:cs="楷体"/>
          <w:b w:val="0"/>
          <w:bCs w:val="0"/>
          <w:color w:val="auto"/>
        </w:rPr>
        <w:t>'</w:t>
      </w:r>
      <w:r>
        <w:rPr>
          <w:rFonts w:hint="eastAsia" w:ascii="楷体" w:hAnsi="楷体" w:eastAsia="楷体" w:cs="楷体"/>
          <w:b w:val="0"/>
          <w:bCs w:val="0"/>
          <w:color w:val="auto"/>
          <w:lang w:val="en-US" w:eastAsia="zh-CN"/>
        </w:rPr>
        <w:t>29.90</w:t>
      </w:r>
      <w:r>
        <w:rPr>
          <w:rFonts w:hint="eastAsia" w:ascii="楷体" w:hAnsi="楷体" w:eastAsia="楷体" w:cs="楷体"/>
          <w:b w:val="0"/>
          <w:bCs w:val="0"/>
          <w:color w:val="auto"/>
        </w:rPr>
        <w:t>"，E:112°</w:t>
      </w:r>
      <w:r>
        <w:rPr>
          <w:rFonts w:hint="eastAsia" w:ascii="楷体" w:hAnsi="楷体" w:eastAsia="楷体" w:cs="楷体"/>
          <w:b w:val="0"/>
          <w:bCs w:val="0"/>
          <w:color w:val="auto"/>
          <w:lang w:val="en-US" w:eastAsia="zh-CN"/>
        </w:rPr>
        <w:t>56’</w:t>
      </w:r>
      <w:r>
        <w:rPr>
          <w:rFonts w:hint="eastAsia" w:ascii="楷体" w:hAnsi="楷体" w:eastAsia="楷体" w:cs="楷体"/>
          <w:b w:val="0"/>
          <w:bCs w:val="0"/>
          <w:color w:val="auto"/>
        </w:rPr>
        <w:t>51</w:t>
      </w:r>
      <w:r>
        <w:rPr>
          <w:rFonts w:hint="eastAsia" w:ascii="楷体" w:hAnsi="楷体" w:eastAsia="楷体" w:cs="楷体"/>
          <w:b w:val="0"/>
          <w:bCs w:val="0"/>
          <w:color w:val="auto"/>
          <w:lang w:val="en-US" w:eastAsia="zh-CN"/>
        </w:rPr>
        <w:t>.15</w:t>
      </w:r>
      <w:r>
        <w:rPr>
          <w:rFonts w:hint="eastAsia" w:ascii="楷体" w:hAnsi="楷体" w:eastAsia="楷体" w:cs="楷体"/>
          <w:b w:val="0"/>
          <w:bCs w:val="0"/>
          <w:color w:val="auto"/>
        </w:rPr>
        <w:t>")。</w:t>
      </w:r>
      <w:r>
        <w:rPr>
          <w:b w:val="0"/>
          <w:bCs w:val="0"/>
          <w:color w:val="auto"/>
          <w:w w:val="99"/>
        </w:rPr>
        <w:t xml:space="preserve"> </w:t>
      </w:r>
    </w:p>
    <w:p>
      <w:pPr>
        <w:keepNext w:val="0"/>
        <w:keepLines w:val="0"/>
        <w:pageBreakBefore w:val="0"/>
        <w:widowControl w:val="0"/>
        <w:kinsoku/>
        <w:wordWrap/>
        <w:overflowPunct/>
        <w:topLinePunct w:val="0"/>
        <w:autoSpaceDE w:val="0"/>
        <w:autoSpaceDN w:val="0"/>
        <w:bidi w:val="0"/>
        <w:adjustRightInd/>
        <w:snapToGrid/>
        <w:spacing w:before="0" w:line="360" w:lineRule="auto"/>
        <w:ind w:left="120" w:right="0" w:firstLine="0"/>
        <w:jc w:val="left"/>
        <w:textAlignment w:val="auto"/>
        <w:rPr>
          <w:rFonts w:hint="eastAsia" w:ascii="楷体" w:hAnsi="楷体" w:eastAsia="楷体" w:cs="楷体"/>
          <w:sz w:val="24"/>
          <w:szCs w:val="24"/>
        </w:rPr>
      </w:pPr>
      <w:r>
        <w:rPr>
          <w:rFonts w:hint="eastAsia" w:ascii="楷体" w:hAnsi="楷体" w:eastAsia="楷体" w:cs="楷体"/>
          <w:b/>
          <w:sz w:val="24"/>
          <w:szCs w:val="24"/>
        </w:rPr>
        <w:t>二、水资源利用状况</w:t>
      </w:r>
      <w:r>
        <w:rPr>
          <w:rFonts w:hint="eastAsia" w:ascii="楷体" w:hAnsi="楷体" w:eastAsia="楷体" w:cs="楷体"/>
          <w:sz w:val="24"/>
          <w:szCs w:val="24"/>
        </w:rPr>
        <w:t xml:space="preserve"> </w:t>
      </w:r>
    </w:p>
    <w:p>
      <w:pPr>
        <w:pStyle w:val="9"/>
        <w:keepNext w:val="0"/>
        <w:keepLines w:val="0"/>
        <w:pageBreakBefore w:val="0"/>
        <w:widowControl w:val="0"/>
        <w:numPr>
          <w:ilvl w:val="0"/>
          <w:numId w:val="0"/>
        </w:numPr>
        <w:tabs>
          <w:tab w:val="left" w:pos="1208"/>
        </w:tabs>
        <w:kinsoku/>
        <w:wordWrap/>
        <w:overflowPunct/>
        <w:topLinePunct w:val="0"/>
        <w:autoSpaceDE w:val="0"/>
        <w:autoSpaceDN w:val="0"/>
        <w:bidi w:val="0"/>
        <w:adjustRightInd/>
        <w:snapToGrid/>
        <w:spacing w:before="5" w:after="0" w:line="360" w:lineRule="auto"/>
        <w:ind w:right="220" w:rightChars="0" w:firstLine="482" w:firstLineChars="200"/>
        <w:jc w:val="left"/>
        <w:textAlignment w:val="auto"/>
        <w:rPr>
          <w:rFonts w:hint="eastAsia" w:ascii="楷体" w:hAnsi="楷体" w:eastAsia="楷体" w:cs="楷体"/>
          <w:b/>
          <w:sz w:val="24"/>
          <w:szCs w:val="24"/>
        </w:rPr>
      </w:pPr>
      <w:r>
        <w:rPr>
          <w:rFonts w:hint="eastAsia" w:ascii="楷体" w:hAnsi="楷体" w:eastAsia="楷体" w:cs="楷体"/>
          <w:b/>
          <w:sz w:val="24"/>
          <w:szCs w:val="24"/>
          <w:lang w:val="en-US" w:eastAsia="zh-CN"/>
        </w:rPr>
        <w:t>1、</w:t>
      </w:r>
      <w:r>
        <w:rPr>
          <w:rFonts w:hint="eastAsia" w:ascii="楷体" w:hAnsi="楷体" w:eastAsia="楷体" w:cs="楷体"/>
          <w:b/>
          <w:sz w:val="24"/>
          <w:szCs w:val="24"/>
        </w:rPr>
        <w:t>供水系统：</w:t>
      </w:r>
      <w:r>
        <w:rPr>
          <w:rFonts w:hint="eastAsia" w:ascii="楷体" w:hAnsi="楷体" w:eastAsia="楷体" w:cs="楷体"/>
          <w:spacing w:val="-3"/>
          <w:sz w:val="24"/>
          <w:szCs w:val="24"/>
        </w:rPr>
        <w:t>公司的用水水源简单，全部来自市政自来水</w:t>
      </w:r>
      <w:r>
        <w:rPr>
          <w:rFonts w:hint="eastAsia" w:ascii="楷体" w:hAnsi="楷体" w:eastAsia="楷体" w:cs="楷体"/>
          <w:spacing w:val="-3"/>
          <w:sz w:val="24"/>
          <w:szCs w:val="24"/>
          <w:lang w:eastAsia="zh-CN"/>
        </w:rPr>
        <w:t>。公司共有三个市政自来水取水点，来自市政供水管网，均配备了具备远程抄表功能的市政自来水供水总表。取水点位置分别在公司厂区公司东北角(华平进水口)、公司西北角(西竺进水口)、公司东南角(生活区+模具车间进水口+办公区进水口)，进厂后通过地下管网分别供向主要生产用水、辅助生产用水和附属生产用水。主要生产用水主要用于熔铸车间、挤压车间、氧化车间、喷涂车间、氟碳车间等；辅助生产用水主要是环保设施、空压机系统、模具车间、设备部和仓库等；附属生产用水主要是生活办公区(包含三栋宿舍楼、办公楼和综合楼)、厂内饭堂、卫生清洁(包含公共厕所用水)和绿化用水等。</w:t>
      </w:r>
      <w:r>
        <w:rPr>
          <w:rFonts w:hint="eastAsia" w:ascii="楷体" w:hAnsi="楷体" w:eastAsia="楷体" w:cs="楷体"/>
          <w:b/>
          <w:w w:val="99"/>
          <w:sz w:val="24"/>
          <w:szCs w:val="24"/>
        </w:rPr>
        <w:t xml:space="preserve"> </w:t>
      </w:r>
    </w:p>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firstLine="482" w:firstLineChars="200"/>
        <w:textAlignment w:val="auto"/>
        <w:rPr>
          <w:rFonts w:hint="eastAsia" w:ascii="楷体" w:hAnsi="楷体" w:eastAsia="楷体" w:cs="楷体"/>
          <w:b/>
          <w:sz w:val="24"/>
          <w:szCs w:val="24"/>
        </w:rPr>
      </w:pPr>
      <w:r>
        <w:rPr>
          <w:rFonts w:hint="eastAsia" w:ascii="楷体" w:hAnsi="楷体" w:eastAsia="楷体" w:cs="楷体"/>
          <w:b/>
          <w:sz w:val="24"/>
          <w:szCs w:val="24"/>
          <w:lang w:val="en-US" w:eastAsia="zh-CN" w:bidi="ar-SA"/>
        </w:rPr>
        <w:t>2、</w:t>
      </w:r>
      <w:r>
        <w:rPr>
          <w:rFonts w:hint="eastAsia" w:ascii="楷体" w:hAnsi="楷体" w:eastAsia="楷体" w:cs="楷体"/>
          <w:b/>
          <w:sz w:val="24"/>
          <w:szCs w:val="24"/>
          <w:lang w:val="en-US" w:eastAsia="en-US" w:bidi="ar-SA"/>
        </w:rPr>
        <w:t>排水系统：</w:t>
      </w:r>
      <w:r>
        <w:rPr>
          <w:rFonts w:hint="eastAsia" w:ascii="楷体" w:hAnsi="楷体" w:eastAsia="楷体" w:cs="楷体"/>
          <w:sz w:val="24"/>
          <w:szCs w:val="24"/>
        </w:rPr>
        <w:t>我公司严格落实和执行市、区环保部门对环评及批复提出的主要环保设施和要求对废水进行处理。公司废水分为生产废水和生活废水，其中生产废水分为综合废水和含镍废水。综合废水来源于氧化电泳车间非含镍废水、喷涂氟碳前处理线废水、挤压车间煲模废水、废气处理装置喷淋定期排水。含镍废水来源于氧化电泳车间的着色后的水洗以及封孔后的水洗，通过闭路回收装置(RO)进行回收处理循环使用不外排。公司废水处理系统采用化学沉淀、生物降解、中和调节混凝沉淀法对综合废水进行处理。经过综合废水处理系统处理后的综合废水达到《电镀水污染物排放标准》(DB44/1597-2015)中表2排放限值要求后，部分排入流北涌汇入解放涌，部分经处理达到《城市污水再生利用-工业用水水质标准》(GB/T19923-2005)中的洗涤用水标准后可回用于生产。生活污水经过三级化粪池预处理达到广东省《水污染物排放限值》(DB44/26-2001)第二时段三级标准后进入西北污水处理厂处理后排放，对环境影响不大。</w:t>
      </w:r>
      <w:r>
        <w:rPr>
          <w:rFonts w:hint="eastAsia" w:ascii="楷体" w:hAnsi="楷体" w:eastAsia="楷体" w:cs="楷体"/>
          <w:b/>
          <w:w w:val="99"/>
          <w:sz w:val="24"/>
          <w:szCs w:val="24"/>
        </w:rPr>
        <w:t xml:space="preserve"> </w:t>
      </w:r>
    </w:p>
    <w:p>
      <w:pPr>
        <w:pStyle w:val="9"/>
        <w:keepNext w:val="0"/>
        <w:keepLines w:val="0"/>
        <w:pageBreakBefore w:val="0"/>
        <w:widowControl w:val="0"/>
        <w:numPr>
          <w:ilvl w:val="0"/>
          <w:numId w:val="0"/>
        </w:numPr>
        <w:tabs>
          <w:tab w:val="left" w:pos="1208"/>
        </w:tabs>
        <w:kinsoku/>
        <w:wordWrap/>
        <w:overflowPunct/>
        <w:topLinePunct w:val="0"/>
        <w:autoSpaceDE w:val="0"/>
        <w:autoSpaceDN w:val="0"/>
        <w:bidi w:val="0"/>
        <w:adjustRightInd/>
        <w:snapToGrid/>
        <w:spacing w:before="3" w:after="0" w:line="360" w:lineRule="auto"/>
        <w:ind w:right="215" w:rightChars="0" w:firstLine="482" w:firstLineChars="200"/>
        <w:jc w:val="both"/>
        <w:textAlignment w:val="auto"/>
        <w:rPr>
          <w:rFonts w:hint="eastAsia" w:ascii="楷体" w:hAnsi="楷体" w:eastAsia="楷体" w:cs="楷体"/>
          <w:b/>
          <w:sz w:val="24"/>
          <w:szCs w:val="24"/>
        </w:rPr>
      </w:pPr>
      <w:r>
        <w:rPr>
          <w:rFonts w:hint="eastAsia" w:ascii="楷体" w:hAnsi="楷体" w:eastAsia="楷体" w:cs="楷体"/>
          <w:b/>
          <w:sz w:val="24"/>
          <w:szCs w:val="24"/>
          <w:lang w:val="en-US" w:eastAsia="zh-CN"/>
        </w:rPr>
        <w:t>3、</w:t>
      </w:r>
      <w:r>
        <w:rPr>
          <w:rFonts w:hint="eastAsia" w:ascii="楷体" w:hAnsi="楷体" w:eastAsia="楷体" w:cs="楷体"/>
          <w:b/>
          <w:sz w:val="24"/>
          <w:szCs w:val="24"/>
        </w:rPr>
        <w:t>中水回用系统：</w:t>
      </w:r>
      <w:r>
        <w:rPr>
          <w:rFonts w:hint="eastAsia" w:ascii="楷体" w:hAnsi="楷体" w:eastAsia="楷体" w:cs="楷体"/>
          <w:sz w:val="24"/>
          <w:szCs w:val="24"/>
          <w:lang w:val="en-US" w:eastAsia="zh-CN"/>
        </w:rPr>
        <w:t>公司中水回用系统</w:t>
      </w:r>
      <w:r>
        <w:rPr>
          <w:rFonts w:hint="eastAsia" w:ascii="楷体" w:hAnsi="楷体" w:eastAsia="楷体" w:cs="楷体"/>
          <w:spacing w:val="-1"/>
          <w:sz w:val="24"/>
          <w:szCs w:val="24"/>
        </w:rPr>
        <w:t>，包括含镍</w:t>
      </w:r>
      <w:r>
        <w:rPr>
          <w:rFonts w:hint="eastAsia" w:ascii="楷体" w:hAnsi="楷体" w:eastAsia="楷体" w:cs="楷体"/>
          <w:spacing w:val="-3"/>
          <w:sz w:val="24"/>
          <w:szCs w:val="24"/>
        </w:rPr>
        <w:t>废水中水回用系统</w:t>
      </w:r>
      <w:r>
        <w:rPr>
          <w:rFonts w:hint="eastAsia" w:ascii="楷体" w:hAnsi="楷体" w:eastAsia="楷体" w:cs="楷体"/>
          <w:spacing w:val="-7"/>
          <w:sz w:val="24"/>
          <w:szCs w:val="24"/>
        </w:rPr>
        <w:t>、</w:t>
      </w:r>
      <w:r>
        <w:rPr>
          <w:rFonts w:hint="eastAsia" w:ascii="楷体" w:hAnsi="楷体" w:eastAsia="楷体" w:cs="楷体"/>
          <w:spacing w:val="-5"/>
          <w:sz w:val="24"/>
          <w:szCs w:val="24"/>
        </w:rPr>
        <w:t>综合中水回用系统，</w:t>
      </w:r>
      <w:r>
        <w:rPr>
          <w:rFonts w:hint="eastAsia" w:ascii="楷体" w:hAnsi="楷体" w:eastAsia="楷体" w:cs="楷体"/>
          <w:spacing w:val="-5"/>
          <w:sz w:val="24"/>
          <w:szCs w:val="24"/>
          <w:lang w:val="en-US" w:eastAsia="zh-CN"/>
        </w:rPr>
        <w:t>公司</w:t>
      </w:r>
      <w:r>
        <w:rPr>
          <w:rFonts w:hint="eastAsia" w:ascii="楷体" w:hAnsi="楷体" w:eastAsia="楷体" w:cs="楷体"/>
          <w:spacing w:val="-5"/>
          <w:sz w:val="24"/>
          <w:szCs w:val="24"/>
        </w:rPr>
        <w:t>用排水情况见下图。</w:t>
      </w:r>
      <w:r>
        <w:rPr>
          <w:rFonts w:hint="eastAsia" w:ascii="楷体" w:hAnsi="楷体" w:eastAsia="楷体" w:cs="楷体"/>
          <w:b/>
          <w:spacing w:val="-5"/>
          <w:w w:val="99"/>
          <w:sz w:val="24"/>
          <w:szCs w:val="24"/>
        </w:rPr>
        <w:t xml:space="preserve"> </w:t>
      </w:r>
    </w:p>
    <w:p>
      <w:pPr>
        <w:pStyle w:val="3"/>
        <w:spacing w:before="11"/>
        <w:rPr>
          <w:rFonts w:hint="eastAsia" w:ascii="楷体" w:hAnsi="楷体" w:eastAsia="楷体" w:cs="楷体"/>
          <w:b/>
          <w:sz w:val="24"/>
          <w:szCs w:val="24"/>
        </w:rPr>
      </w:pPr>
    </w:p>
    <w:p>
      <w:pPr>
        <w:spacing w:after="0"/>
        <w:jc w:val="left"/>
        <w:rPr>
          <w:rFonts w:hint="eastAsia" w:ascii="楷体" w:hAnsi="楷体" w:eastAsia="楷体" w:cs="楷体"/>
          <w:sz w:val="24"/>
          <w:szCs w:val="24"/>
          <w:lang w:eastAsia="zh-CN"/>
        </w:rPr>
      </w:pPr>
      <w:r>
        <w:rPr>
          <w:rFonts w:hint="eastAsia" w:ascii="楷体" w:hAnsi="楷体" w:eastAsia="楷体" w:cs="楷体"/>
          <w:sz w:val="24"/>
          <w:szCs w:val="24"/>
          <w:lang w:eastAsia="zh-CN"/>
        </w:rPr>
        <w:drawing>
          <wp:inline distT="0" distB="0" distL="114300" distR="114300">
            <wp:extent cx="5503545" cy="3345815"/>
            <wp:effectExtent l="0" t="0" r="1905" b="6985"/>
            <wp:docPr id="1" name="图片 1" descr="222c5967c884299ba858bca4af7429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22c5967c884299ba858bca4af7429e5"/>
                    <pic:cNvPicPr>
                      <a:picLocks noChangeAspect="1"/>
                    </pic:cNvPicPr>
                  </pic:nvPicPr>
                  <pic:blipFill>
                    <a:blip r:embed="rId5"/>
                    <a:stretch>
                      <a:fillRect/>
                    </a:stretch>
                  </pic:blipFill>
                  <pic:spPr>
                    <a:xfrm>
                      <a:off x="0" y="0"/>
                      <a:ext cx="5503545" cy="3345815"/>
                    </a:xfrm>
                    <a:prstGeom prst="rect">
                      <a:avLst/>
                    </a:prstGeom>
                  </pic:spPr>
                </pic:pic>
              </a:graphicData>
            </a:graphic>
          </wp:inline>
        </w:drawing>
      </w:r>
    </w:p>
    <w:p>
      <w:pPr>
        <w:spacing w:after="0"/>
        <w:jc w:val="center"/>
        <w:rPr>
          <w:rFonts w:hint="default" w:ascii="楷体" w:hAnsi="楷体" w:eastAsia="楷体" w:cs="楷体"/>
          <w:b/>
          <w:bCs/>
          <w:sz w:val="24"/>
          <w:szCs w:val="24"/>
          <w:lang w:val="en-US" w:eastAsia="zh-CN"/>
        </w:rPr>
      </w:pPr>
      <w:r>
        <w:rPr>
          <w:rFonts w:hint="eastAsia" w:ascii="楷体" w:hAnsi="楷体" w:eastAsia="楷体" w:cs="楷体"/>
          <w:b/>
          <w:bCs/>
          <w:sz w:val="24"/>
          <w:szCs w:val="24"/>
          <w:lang w:val="en-US" w:eastAsia="zh-CN"/>
        </w:rPr>
        <w:t>图1 排水情况</w:t>
      </w:r>
    </w:p>
    <w:p>
      <w:pPr>
        <w:spacing w:after="0"/>
        <w:jc w:val="left"/>
        <w:rPr>
          <w:rFonts w:hint="eastAsia" w:ascii="楷体" w:hAnsi="楷体" w:eastAsia="楷体" w:cs="楷体"/>
          <w:sz w:val="24"/>
          <w:szCs w:val="24"/>
        </w:rPr>
      </w:pPr>
      <w:r>
        <w:rPr>
          <w:rFonts w:hint="eastAsia" w:ascii="楷体" w:hAnsi="楷体" w:eastAsia="楷体" w:cs="楷体"/>
          <w:b/>
          <w:bCs/>
          <w:sz w:val="24"/>
          <w:szCs w:val="24"/>
        </w:rPr>
        <w:t>三、水平衡分析</w:t>
      </w:r>
    </w:p>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公司委托</w:t>
      </w:r>
      <w:r>
        <w:rPr>
          <w:rFonts w:hint="eastAsia" w:ascii="楷体" w:hAnsi="楷体" w:eastAsia="楷体" w:cs="楷体"/>
          <w:sz w:val="24"/>
          <w:szCs w:val="24"/>
          <w:lang w:val="en-US" w:eastAsia="zh-CN"/>
        </w:rPr>
        <w:t>第三方单位</w:t>
      </w:r>
      <w:r>
        <w:rPr>
          <w:rFonts w:hint="eastAsia" w:ascii="楷体" w:hAnsi="楷体" w:eastAsia="楷体" w:cs="楷体"/>
          <w:sz w:val="24"/>
          <w:szCs w:val="24"/>
        </w:rPr>
        <w:t>对</w:t>
      </w:r>
      <w:r>
        <w:rPr>
          <w:rFonts w:hint="eastAsia" w:ascii="楷体" w:hAnsi="楷体" w:eastAsia="楷体" w:cs="楷体"/>
          <w:sz w:val="24"/>
          <w:szCs w:val="24"/>
          <w:lang w:val="en-US" w:eastAsia="zh-CN"/>
        </w:rPr>
        <w:t>公司</w:t>
      </w:r>
      <w:r>
        <w:rPr>
          <w:rFonts w:hint="eastAsia" w:ascii="楷体" w:hAnsi="楷体" w:eastAsia="楷体" w:cs="楷体"/>
          <w:sz w:val="24"/>
          <w:szCs w:val="24"/>
        </w:rPr>
        <w:t>的取水、用水、耗水、排水状况进行调查和水平衡测试，明确各项用水指标，对</w:t>
      </w:r>
      <w:r>
        <w:rPr>
          <w:rFonts w:hint="eastAsia" w:ascii="楷体" w:hAnsi="楷体" w:eastAsia="楷体" w:cs="楷体"/>
          <w:sz w:val="24"/>
          <w:szCs w:val="24"/>
          <w:lang w:val="en-US" w:eastAsia="zh-CN"/>
        </w:rPr>
        <w:t>公司</w:t>
      </w:r>
      <w:r>
        <w:rPr>
          <w:rFonts w:hint="eastAsia" w:ascii="楷体" w:hAnsi="楷体" w:eastAsia="楷体" w:cs="楷体"/>
          <w:sz w:val="24"/>
          <w:szCs w:val="24"/>
        </w:rPr>
        <w:t>的用水状况进行评价，并提出节约用水的合理化建议，最终水平衡试验顺利完成。在水平衡测试中，测试单位收集了我公司近五年用水量，以及用水管理的相关资料，现场勘察了供水管网分布及用水计量器具配备情况，绘制了给企业水管网系统图、计量器具网络图和水平衡方框图，查验了管网及用水器具的渗漏情况，对主要用水单元的各种水量进行了连续测量。</w:t>
      </w:r>
    </w:p>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firstLine="480" w:firstLineChars="200"/>
        <w:textAlignment w:val="auto"/>
        <w:rPr>
          <w:rFonts w:hint="eastAsia" w:ascii="楷体" w:hAnsi="楷体" w:eastAsia="楷体" w:cs="楷体"/>
          <w:sz w:val="24"/>
          <w:szCs w:val="24"/>
          <w:lang w:val="en-US" w:eastAsia="zh-CN"/>
        </w:rPr>
      </w:pPr>
      <w:r>
        <w:rPr>
          <w:rFonts w:hint="eastAsia" w:ascii="楷体" w:hAnsi="楷体" w:eastAsia="楷体" w:cs="楷体"/>
          <w:sz w:val="24"/>
          <w:szCs w:val="24"/>
        </w:rPr>
        <w:t>根据《节水型企业评价导则》(GB/T 7119-2018)节水型企业技术考核指标，以及《广东省用水定额》(DB 44/T 1461-2014)对铝型材制品取水量的限定值要求，水平衡测试所得的技术指标</w:t>
      </w:r>
      <w:r>
        <w:rPr>
          <w:rFonts w:hint="eastAsia" w:ascii="楷体" w:hAnsi="楷体" w:eastAsia="楷体" w:cs="楷体"/>
          <w:sz w:val="24"/>
          <w:szCs w:val="24"/>
          <w:lang w:val="en-US" w:eastAsia="zh-CN"/>
        </w:rPr>
        <w:t>均满足要求，具体</w:t>
      </w:r>
      <w:r>
        <w:rPr>
          <w:rFonts w:hint="eastAsia" w:ascii="楷体" w:hAnsi="楷体" w:eastAsia="楷体" w:cs="楷体"/>
          <w:sz w:val="24"/>
          <w:szCs w:val="24"/>
        </w:rPr>
        <w:t>如下:</w:t>
      </w:r>
      <w:r>
        <w:rPr>
          <w:rFonts w:hint="eastAsia" w:ascii="楷体" w:hAnsi="楷体" w:eastAsia="楷体" w:cs="楷体"/>
          <w:sz w:val="24"/>
          <w:szCs w:val="24"/>
          <w:lang w:val="en-US" w:eastAsia="zh-CN"/>
        </w:rPr>
        <w:t xml:space="preserve"> </w:t>
      </w:r>
      <w:bookmarkStart w:id="0" w:name="_GoBack"/>
      <w:bookmarkEnd w:id="0"/>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980"/>
        <w:gridCol w:w="785"/>
        <w:gridCol w:w="1361"/>
        <w:gridCol w:w="981"/>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Align w:val="center"/>
          </w:tcPr>
          <w:p>
            <w:pPr>
              <w:keepNext w:val="0"/>
              <w:keepLines w:val="0"/>
              <w:widowControl/>
              <w:suppressLineNumbers w:val="0"/>
              <w:jc w:val="center"/>
              <w:rPr>
                <w:rFonts w:hint="eastAsia" w:ascii="楷体" w:hAnsi="楷体" w:eastAsia="楷体" w:cs="楷体"/>
                <w:b/>
                <w:bCs/>
                <w:sz w:val="22"/>
                <w:szCs w:val="22"/>
                <w:vertAlign w:val="baseline"/>
                <w:lang w:val="en-US" w:eastAsia="zh-CN"/>
              </w:rPr>
            </w:pPr>
            <w:r>
              <w:rPr>
                <w:rFonts w:hint="eastAsia" w:ascii="楷体" w:hAnsi="楷体" w:eastAsia="楷体" w:cs="楷体"/>
                <w:b/>
                <w:bCs/>
                <w:color w:val="000000"/>
                <w:kern w:val="0"/>
                <w:sz w:val="22"/>
                <w:szCs w:val="22"/>
                <w:lang w:val="en-US" w:eastAsia="zh-CN" w:bidi="ar"/>
              </w:rPr>
              <w:t>考核内容</w:t>
            </w:r>
          </w:p>
        </w:tc>
        <w:tc>
          <w:tcPr>
            <w:tcW w:w="1980" w:type="dxa"/>
            <w:vAlign w:val="center"/>
          </w:tcPr>
          <w:p>
            <w:pPr>
              <w:keepNext w:val="0"/>
              <w:keepLines w:val="0"/>
              <w:widowControl/>
              <w:suppressLineNumbers w:val="0"/>
              <w:jc w:val="center"/>
              <w:rPr>
                <w:rFonts w:hint="eastAsia" w:ascii="楷体" w:hAnsi="楷体" w:eastAsia="楷体" w:cs="楷体"/>
                <w:b/>
                <w:bCs/>
                <w:sz w:val="22"/>
                <w:szCs w:val="22"/>
                <w:vertAlign w:val="baseline"/>
                <w:lang w:val="en-US" w:eastAsia="zh-CN"/>
              </w:rPr>
            </w:pPr>
            <w:r>
              <w:rPr>
                <w:rFonts w:hint="eastAsia" w:ascii="楷体" w:hAnsi="楷体" w:eastAsia="楷体" w:cs="楷体"/>
                <w:b/>
                <w:bCs/>
                <w:color w:val="000000"/>
                <w:kern w:val="0"/>
                <w:sz w:val="22"/>
                <w:szCs w:val="22"/>
                <w:lang w:val="en-US" w:eastAsia="zh-CN" w:bidi="ar"/>
              </w:rPr>
              <w:t>技术指标</w:t>
            </w:r>
          </w:p>
        </w:tc>
        <w:tc>
          <w:tcPr>
            <w:tcW w:w="785" w:type="dxa"/>
            <w:vAlign w:val="center"/>
          </w:tcPr>
          <w:p>
            <w:pPr>
              <w:keepNext w:val="0"/>
              <w:keepLines w:val="0"/>
              <w:widowControl/>
              <w:suppressLineNumbers w:val="0"/>
              <w:jc w:val="center"/>
              <w:rPr>
                <w:rFonts w:hint="eastAsia" w:ascii="楷体" w:hAnsi="楷体" w:eastAsia="楷体" w:cs="楷体"/>
                <w:b/>
                <w:bCs/>
                <w:sz w:val="22"/>
                <w:szCs w:val="22"/>
                <w:vertAlign w:val="baseline"/>
                <w:lang w:val="en-US" w:eastAsia="zh-CN"/>
              </w:rPr>
            </w:pPr>
            <w:r>
              <w:rPr>
                <w:rFonts w:hint="eastAsia" w:ascii="楷体" w:hAnsi="楷体" w:eastAsia="楷体" w:cs="楷体"/>
                <w:b/>
                <w:bCs/>
                <w:color w:val="000000"/>
                <w:kern w:val="0"/>
                <w:sz w:val="22"/>
                <w:szCs w:val="22"/>
                <w:lang w:val="en-US" w:eastAsia="zh-CN" w:bidi="ar"/>
              </w:rPr>
              <w:t>单位</w:t>
            </w:r>
          </w:p>
        </w:tc>
        <w:tc>
          <w:tcPr>
            <w:tcW w:w="1361" w:type="dxa"/>
            <w:vAlign w:val="center"/>
          </w:tcPr>
          <w:p>
            <w:pPr>
              <w:keepNext w:val="0"/>
              <w:keepLines w:val="0"/>
              <w:widowControl/>
              <w:suppressLineNumbers w:val="0"/>
              <w:jc w:val="center"/>
              <w:rPr>
                <w:rFonts w:hint="eastAsia" w:ascii="楷体" w:hAnsi="楷体" w:eastAsia="楷体" w:cs="楷体"/>
                <w:b/>
                <w:bCs/>
                <w:sz w:val="22"/>
                <w:szCs w:val="22"/>
                <w:vertAlign w:val="baseline"/>
                <w:lang w:val="en-US" w:eastAsia="zh-CN"/>
              </w:rPr>
            </w:pPr>
            <w:r>
              <w:rPr>
                <w:rFonts w:hint="eastAsia" w:ascii="楷体" w:hAnsi="楷体" w:eastAsia="楷体" w:cs="楷体"/>
                <w:b/>
                <w:bCs/>
                <w:color w:val="000000"/>
                <w:kern w:val="0"/>
                <w:sz w:val="22"/>
                <w:szCs w:val="22"/>
                <w:lang w:val="en-US" w:eastAsia="zh-CN" w:bidi="ar"/>
              </w:rPr>
              <w:t>测试结果</w:t>
            </w:r>
          </w:p>
        </w:tc>
        <w:tc>
          <w:tcPr>
            <w:tcW w:w="981" w:type="dxa"/>
            <w:vAlign w:val="center"/>
          </w:tcPr>
          <w:p>
            <w:pPr>
              <w:keepNext w:val="0"/>
              <w:keepLines w:val="0"/>
              <w:widowControl/>
              <w:suppressLineNumbers w:val="0"/>
              <w:jc w:val="center"/>
              <w:rPr>
                <w:rFonts w:hint="eastAsia" w:ascii="楷体" w:hAnsi="楷体" w:eastAsia="楷体" w:cs="楷体"/>
                <w:b/>
                <w:bCs/>
                <w:sz w:val="22"/>
                <w:szCs w:val="22"/>
                <w:vertAlign w:val="baseline"/>
                <w:lang w:val="en-US" w:eastAsia="zh-CN"/>
              </w:rPr>
            </w:pPr>
            <w:r>
              <w:rPr>
                <w:rFonts w:hint="eastAsia" w:ascii="楷体" w:hAnsi="楷体" w:eastAsia="楷体" w:cs="楷体"/>
                <w:b/>
                <w:bCs/>
                <w:color w:val="000000"/>
                <w:kern w:val="0"/>
                <w:sz w:val="22"/>
                <w:szCs w:val="22"/>
                <w:lang w:val="en-US" w:eastAsia="zh-CN" w:bidi="ar"/>
              </w:rPr>
              <w:t>考核值</w:t>
            </w:r>
          </w:p>
        </w:tc>
        <w:tc>
          <w:tcPr>
            <w:tcW w:w="2618" w:type="dxa"/>
            <w:vAlign w:val="center"/>
          </w:tcPr>
          <w:p>
            <w:pPr>
              <w:keepNext w:val="0"/>
              <w:keepLines w:val="0"/>
              <w:widowControl/>
              <w:suppressLineNumbers w:val="0"/>
              <w:jc w:val="center"/>
              <w:rPr>
                <w:rFonts w:hint="eastAsia" w:ascii="楷体" w:hAnsi="楷体" w:eastAsia="楷体" w:cs="楷体"/>
                <w:b/>
                <w:bCs/>
                <w:sz w:val="22"/>
                <w:szCs w:val="22"/>
                <w:vertAlign w:val="baseline"/>
                <w:lang w:val="en-US" w:eastAsia="zh-CN"/>
              </w:rPr>
            </w:pPr>
            <w:r>
              <w:rPr>
                <w:rFonts w:hint="eastAsia" w:ascii="楷体" w:hAnsi="楷体" w:eastAsia="楷体" w:cs="楷体"/>
                <w:b/>
                <w:bCs/>
                <w:color w:val="000000"/>
                <w:kern w:val="0"/>
                <w:sz w:val="22"/>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restart"/>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取水量</w:t>
            </w:r>
          </w:p>
        </w:tc>
        <w:tc>
          <w:tcPr>
            <w:tcW w:w="1980"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单位产品取水量</w:t>
            </w:r>
          </w:p>
        </w:tc>
        <w:tc>
          <w:tcPr>
            <w:tcW w:w="785"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m3 /t</w:t>
            </w:r>
          </w:p>
        </w:tc>
        <w:tc>
          <w:tcPr>
            <w:tcW w:w="136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7.44</w:t>
            </w:r>
          </w:p>
        </w:tc>
        <w:tc>
          <w:tcPr>
            <w:tcW w:w="98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≤8</w:t>
            </w:r>
          </w:p>
        </w:tc>
        <w:tc>
          <w:tcPr>
            <w:tcW w:w="2618" w:type="dxa"/>
            <w:vAlign w:val="center"/>
          </w:tcPr>
          <w:p>
            <w:pPr>
              <w:keepNext w:val="0"/>
              <w:keepLines w:val="0"/>
              <w:widowControl/>
              <w:suppressLineNumbers w:val="0"/>
              <w:jc w:val="center"/>
              <w:rPr>
                <w:rFonts w:hint="eastAsia" w:ascii="楷体" w:hAnsi="楷体" w:eastAsia="楷体" w:cs="楷体"/>
                <w:sz w:val="22"/>
                <w:szCs w:val="22"/>
              </w:rPr>
            </w:pPr>
            <w:r>
              <w:rPr>
                <w:rFonts w:hint="eastAsia" w:ascii="楷体" w:hAnsi="楷体" w:eastAsia="楷体" w:cs="楷体"/>
                <w:color w:val="000000"/>
                <w:kern w:val="0"/>
                <w:sz w:val="22"/>
                <w:szCs w:val="22"/>
                <w:lang w:val="en-US" w:eastAsia="zh-CN" w:bidi="ar"/>
              </w:rPr>
              <w:t>《广东省用水定额》</w:t>
            </w:r>
          </w:p>
          <w:p>
            <w:pPr>
              <w:keepNext w:val="0"/>
              <w:keepLines w:val="0"/>
              <w:widowControl/>
              <w:suppressLineNumbers w:val="0"/>
              <w:jc w:val="center"/>
              <w:rPr>
                <w:rFonts w:hint="eastAsia" w:ascii="楷体" w:hAnsi="楷体" w:eastAsia="楷体" w:cs="楷体"/>
                <w:sz w:val="22"/>
                <w:szCs w:val="22"/>
              </w:rPr>
            </w:pPr>
            <w:r>
              <w:rPr>
                <w:rFonts w:hint="eastAsia" w:ascii="楷体" w:hAnsi="楷体" w:eastAsia="楷体" w:cs="楷体"/>
                <w:color w:val="000000"/>
                <w:kern w:val="0"/>
                <w:sz w:val="22"/>
                <w:szCs w:val="22"/>
                <w:lang w:val="en-US" w:eastAsia="zh-CN" w:bidi="ar"/>
              </w:rPr>
              <w:t>(DB 44/T 1461-2014)</w:t>
            </w:r>
          </w:p>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铝型材制品用水定额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continue"/>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c>
          <w:tcPr>
            <w:tcW w:w="1980"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化学水制取系数</w:t>
            </w:r>
          </w:p>
        </w:tc>
        <w:tc>
          <w:tcPr>
            <w:tcW w:w="785"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1.69</w:t>
            </w:r>
          </w:p>
        </w:tc>
        <w:tc>
          <w:tcPr>
            <w:tcW w:w="98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141" w:type="dxa"/>
            <w:vMerge w:val="restart"/>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重复利用</w:t>
            </w:r>
          </w:p>
        </w:tc>
        <w:tc>
          <w:tcPr>
            <w:tcW w:w="1980"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重复利用率</w:t>
            </w:r>
          </w:p>
        </w:tc>
        <w:tc>
          <w:tcPr>
            <w:tcW w:w="785"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95.93</w:t>
            </w:r>
          </w:p>
        </w:tc>
        <w:tc>
          <w:tcPr>
            <w:tcW w:w="981"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141" w:type="dxa"/>
            <w:vMerge w:val="continue"/>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c>
          <w:tcPr>
            <w:tcW w:w="1980"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直接冷却水循环率</w:t>
            </w:r>
          </w:p>
        </w:tc>
        <w:tc>
          <w:tcPr>
            <w:tcW w:w="785"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0</w:t>
            </w:r>
          </w:p>
        </w:tc>
        <w:tc>
          <w:tcPr>
            <w:tcW w:w="98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2618"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无直接冷却循环水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continue"/>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c>
          <w:tcPr>
            <w:tcW w:w="1980"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间接冷却水循环率</w:t>
            </w:r>
          </w:p>
        </w:tc>
        <w:tc>
          <w:tcPr>
            <w:tcW w:w="785"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99.08</w:t>
            </w:r>
          </w:p>
        </w:tc>
        <w:tc>
          <w:tcPr>
            <w:tcW w:w="981"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continue"/>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c>
          <w:tcPr>
            <w:tcW w:w="1980"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循环水浓缩倍数</w:t>
            </w:r>
          </w:p>
        </w:tc>
        <w:tc>
          <w:tcPr>
            <w:tcW w:w="785"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3.64</w:t>
            </w:r>
          </w:p>
        </w:tc>
        <w:tc>
          <w:tcPr>
            <w:tcW w:w="981"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continue"/>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c>
          <w:tcPr>
            <w:tcW w:w="1980"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废水回用率</w:t>
            </w:r>
          </w:p>
        </w:tc>
        <w:tc>
          <w:tcPr>
            <w:tcW w:w="785"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21.23</w:t>
            </w:r>
          </w:p>
        </w:tc>
        <w:tc>
          <w:tcPr>
            <w:tcW w:w="98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用水漏损</w:t>
            </w:r>
          </w:p>
        </w:tc>
        <w:tc>
          <w:tcPr>
            <w:tcW w:w="1980"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用水综合漏失率</w:t>
            </w:r>
          </w:p>
        </w:tc>
        <w:tc>
          <w:tcPr>
            <w:tcW w:w="785"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0</w:t>
            </w:r>
          </w:p>
        </w:tc>
        <w:tc>
          <w:tcPr>
            <w:tcW w:w="98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restart"/>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计量</w:t>
            </w:r>
          </w:p>
        </w:tc>
        <w:tc>
          <w:tcPr>
            <w:tcW w:w="1980"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水表计量率</w:t>
            </w:r>
          </w:p>
        </w:tc>
        <w:tc>
          <w:tcPr>
            <w:tcW w:w="785"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100</w:t>
            </w:r>
          </w:p>
        </w:tc>
        <w:tc>
          <w:tcPr>
            <w:tcW w:w="98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2618" w:type="dxa"/>
            <w:vAlign w:val="center"/>
          </w:tcPr>
          <w:p>
            <w:pPr>
              <w:keepNext w:val="0"/>
              <w:keepLines w:val="0"/>
              <w:widowControl/>
              <w:suppressLineNumbers w:val="0"/>
              <w:jc w:val="center"/>
              <w:rPr>
                <w:rFonts w:hint="eastAsia" w:ascii="楷体" w:hAnsi="楷体" w:eastAsia="楷体" w:cs="楷体"/>
                <w:sz w:val="22"/>
                <w:szCs w:val="22"/>
              </w:rPr>
            </w:pPr>
            <w:r>
              <w:rPr>
                <w:rFonts w:hint="eastAsia" w:ascii="楷体" w:hAnsi="楷体" w:eastAsia="楷体" w:cs="楷体"/>
                <w:color w:val="000000"/>
                <w:kern w:val="0"/>
                <w:sz w:val="22"/>
                <w:szCs w:val="22"/>
                <w:lang w:val="en-US" w:eastAsia="zh-CN" w:bidi="ar"/>
              </w:rPr>
              <w:t>一级、次级用</w:t>
            </w:r>
          </w:p>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水单位计量率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141" w:type="dxa"/>
            <w:vMerge w:val="continue"/>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c>
          <w:tcPr>
            <w:tcW w:w="1980"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水计量器具配备率</w:t>
            </w:r>
          </w:p>
        </w:tc>
        <w:tc>
          <w:tcPr>
            <w:tcW w:w="785"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100/100</w:t>
            </w:r>
          </w:p>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/100</w:t>
            </w:r>
          </w:p>
        </w:tc>
        <w:tc>
          <w:tcPr>
            <w:tcW w:w="981" w:type="dxa"/>
            <w:vAlign w:val="center"/>
          </w:tcPr>
          <w:p>
            <w:pPr>
              <w:keepNext w:val="0"/>
              <w:keepLines w:val="0"/>
              <w:widowControl/>
              <w:suppressLineNumbers w:val="0"/>
              <w:jc w:val="center"/>
              <w:rPr>
                <w:rFonts w:hint="eastAsia" w:ascii="楷体" w:hAnsi="楷体" w:eastAsia="楷体" w:cs="楷体"/>
                <w:sz w:val="22"/>
                <w:szCs w:val="22"/>
              </w:rPr>
            </w:pPr>
            <w:r>
              <w:rPr>
                <w:rFonts w:hint="eastAsia" w:ascii="楷体" w:hAnsi="楷体" w:eastAsia="楷体" w:cs="楷体"/>
                <w:color w:val="000000"/>
                <w:kern w:val="0"/>
                <w:sz w:val="22"/>
                <w:szCs w:val="22"/>
                <w:lang w:val="en-US" w:eastAsia="zh-CN" w:bidi="ar"/>
              </w:rPr>
              <w:t>——</w:t>
            </w:r>
          </w:p>
          <w:p>
            <w:pPr>
              <w:keepNext w:val="0"/>
              <w:keepLines w:val="0"/>
              <w:widowControl/>
              <w:suppressLineNumbers w:val="0"/>
              <w:jc w:val="center"/>
              <w:rPr>
                <w:rFonts w:hint="eastAsia" w:ascii="楷体" w:hAnsi="楷体" w:eastAsia="楷体" w:cs="楷体"/>
                <w:color w:val="000000"/>
                <w:kern w:val="0"/>
                <w:sz w:val="22"/>
                <w:szCs w:val="22"/>
                <w:lang w:val="en-US" w:eastAsia="zh-CN" w:bidi="ar"/>
              </w:rPr>
            </w:pPr>
          </w:p>
        </w:tc>
        <w:tc>
          <w:tcPr>
            <w:tcW w:w="2618" w:type="dxa"/>
            <w:vAlign w:val="center"/>
          </w:tcPr>
          <w:p>
            <w:pPr>
              <w:keepNext w:val="0"/>
              <w:keepLines w:val="0"/>
              <w:widowControl/>
              <w:suppressLineNumbers w:val="0"/>
              <w:jc w:val="center"/>
              <w:rPr>
                <w:rFonts w:hint="eastAsia" w:ascii="楷体" w:hAnsi="楷体" w:eastAsia="楷体" w:cs="楷体"/>
                <w:sz w:val="22"/>
                <w:szCs w:val="22"/>
              </w:rPr>
            </w:pPr>
            <w:r>
              <w:rPr>
                <w:rFonts w:hint="eastAsia" w:ascii="楷体" w:hAnsi="楷体" w:eastAsia="楷体" w:cs="楷体"/>
                <w:color w:val="000000"/>
                <w:kern w:val="0"/>
                <w:sz w:val="22"/>
                <w:szCs w:val="22"/>
                <w:lang w:val="en-US" w:eastAsia="zh-CN" w:bidi="ar"/>
              </w:rPr>
              <w:t>三级计量符合</w:t>
            </w:r>
          </w:p>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GB24789 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restart"/>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排水</w:t>
            </w:r>
          </w:p>
        </w:tc>
        <w:tc>
          <w:tcPr>
            <w:tcW w:w="1980"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单位产品排水量</w:t>
            </w:r>
          </w:p>
        </w:tc>
        <w:tc>
          <w:tcPr>
            <w:tcW w:w="785"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m3 /t</w:t>
            </w:r>
          </w:p>
        </w:tc>
        <w:tc>
          <w:tcPr>
            <w:tcW w:w="136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5.27</w:t>
            </w:r>
          </w:p>
        </w:tc>
        <w:tc>
          <w:tcPr>
            <w:tcW w:w="98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color w:val="000000"/>
                <w:kern w:val="0"/>
                <w:sz w:val="22"/>
                <w:szCs w:val="22"/>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continue"/>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sz w:val="22"/>
                <w:szCs w:val="22"/>
                <w:vertAlign w:val="baseline"/>
                <w:lang w:val="en-US" w:eastAsia="zh-CN"/>
              </w:rPr>
            </w:pPr>
          </w:p>
        </w:tc>
        <w:tc>
          <w:tcPr>
            <w:tcW w:w="1980"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达标排放率</w:t>
            </w:r>
          </w:p>
        </w:tc>
        <w:tc>
          <w:tcPr>
            <w:tcW w:w="785"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100</w:t>
            </w:r>
          </w:p>
        </w:tc>
        <w:tc>
          <w:tcPr>
            <w:tcW w:w="98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2618" w:type="dxa"/>
            <w:vAlign w:val="center"/>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jc w:val="center"/>
              <w:textAlignment w:val="auto"/>
              <w:rPr>
                <w:rFonts w:hint="eastAsia" w:ascii="楷体" w:hAnsi="楷体" w:eastAsia="楷体" w:cs="楷体"/>
                <w:color w:val="000000"/>
                <w:kern w:val="0"/>
                <w:sz w:val="22"/>
                <w:szCs w:val="22"/>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restart"/>
            <w:vAlign w:val="center"/>
          </w:tcPr>
          <w:p>
            <w:pPr>
              <w:keepNext w:val="0"/>
              <w:keepLines w:val="0"/>
              <w:widowControl/>
              <w:suppressLineNumbers w:val="0"/>
              <w:jc w:val="center"/>
              <w:rPr>
                <w:rFonts w:hint="eastAsia" w:ascii="楷体" w:hAnsi="楷体" w:eastAsia="楷体" w:cs="楷体"/>
                <w:sz w:val="22"/>
                <w:szCs w:val="22"/>
                <w:vertAlign w:val="baseline"/>
                <w:lang w:val="en-US" w:eastAsia="zh-CN"/>
              </w:rPr>
            </w:pPr>
            <w:r>
              <w:rPr>
                <w:rFonts w:hint="eastAsia" w:ascii="楷体" w:hAnsi="楷体" w:eastAsia="楷体" w:cs="楷体"/>
                <w:color w:val="000000"/>
                <w:kern w:val="0"/>
                <w:sz w:val="22"/>
                <w:szCs w:val="22"/>
                <w:lang w:val="en-US" w:eastAsia="zh-CN" w:bidi="ar"/>
              </w:rPr>
              <w:t>非常规水资源利用</w:t>
            </w:r>
          </w:p>
        </w:tc>
        <w:tc>
          <w:tcPr>
            <w:tcW w:w="1980"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非常规水源替代率</w:t>
            </w:r>
          </w:p>
        </w:tc>
        <w:tc>
          <w:tcPr>
            <w:tcW w:w="785"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98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2618" w:type="dxa"/>
            <w:vMerge w:val="restart"/>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无非常规水源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1" w:type="dxa"/>
            <w:vMerge w:val="continue"/>
          </w:tcPr>
          <w:p>
            <w:pPr>
              <w:keepNext w:val="0"/>
              <w:keepLines w:val="0"/>
              <w:widowControl/>
              <w:suppressLineNumbers w:val="0"/>
              <w:jc w:val="left"/>
              <w:rPr>
                <w:rFonts w:hint="eastAsia" w:ascii="楷体" w:hAnsi="楷体" w:eastAsia="楷体" w:cs="楷体"/>
                <w:color w:val="000000"/>
                <w:kern w:val="0"/>
                <w:sz w:val="22"/>
                <w:szCs w:val="22"/>
                <w:lang w:val="en-US" w:eastAsia="zh-CN" w:bidi="ar"/>
              </w:rPr>
            </w:pPr>
          </w:p>
        </w:tc>
        <w:tc>
          <w:tcPr>
            <w:tcW w:w="1980"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非常规水源利用率</w:t>
            </w:r>
          </w:p>
        </w:tc>
        <w:tc>
          <w:tcPr>
            <w:tcW w:w="785"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136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981" w:type="dxa"/>
            <w:vAlign w:val="center"/>
          </w:tcPr>
          <w:p>
            <w:pPr>
              <w:keepNext w:val="0"/>
              <w:keepLines w:val="0"/>
              <w:widowControl/>
              <w:suppressLineNumbers w:val="0"/>
              <w:jc w:val="center"/>
              <w:rPr>
                <w:rFonts w:hint="eastAsia" w:ascii="楷体" w:hAnsi="楷体" w:eastAsia="楷体" w:cs="楷体"/>
                <w:color w:val="000000"/>
                <w:kern w:val="0"/>
                <w:sz w:val="22"/>
                <w:szCs w:val="22"/>
                <w:lang w:val="en-US" w:eastAsia="zh-CN" w:bidi="ar"/>
              </w:rPr>
            </w:pPr>
            <w:r>
              <w:rPr>
                <w:rFonts w:hint="eastAsia" w:ascii="楷体" w:hAnsi="楷体" w:eastAsia="楷体" w:cs="楷体"/>
                <w:color w:val="000000"/>
                <w:kern w:val="0"/>
                <w:sz w:val="22"/>
                <w:szCs w:val="22"/>
                <w:lang w:val="en-US" w:eastAsia="zh-CN" w:bidi="ar"/>
              </w:rPr>
              <w:t>——</w:t>
            </w:r>
          </w:p>
        </w:tc>
        <w:tc>
          <w:tcPr>
            <w:tcW w:w="2618" w:type="dxa"/>
            <w:vMerge w:val="continue"/>
          </w:tcPr>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textAlignment w:val="auto"/>
              <w:rPr>
                <w:rFonts w:hint="eastAsia" w:ascii="楷体" w:hAnsi="楷体" w:eastAsia="楷体" w:cs="楷体"/>
                <w:color w:val="000000"/>
                <w:kern w:val="0"/>
                <w:sz w:val="22"/>
                <w:szCs w:val="22"/>
                <w:lang w:val="en-US" w:eastAsia="zh-CN" w:bidi="ar"/>
              </w:rPr>
            </w:pPr>
          </w:p>
        </w:tc>
      </w:tr>
    </w:tbl>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firstLine="480" w:firstLineChars="200"/>
        <w:textAlignment w:val="auto"/>
        <w:rPr>
          <w:rFonts w:hint="eastAsia" w:ascii="楷体" w:hAnsi="楷体" w:eastAsia="楷体" w:cs="楷体"/>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val="en-US" w:eastAsia="zh-CN"/>
        </w:rPr>
        <w:t xml:space="preserve">  公司污水排放达标率为100%，</w:t>
      </w:r>
      <w:r>
        <w:rPr>
          <w:rFonts w:hint="eastAsia" w:ascii="楷体" w:hAnsi="楷体" w:eastAsia="楷体" w:cs="楷体"/>
          <w:sz w:val="24"/>
          <w:szCs w:val="24"/>
        </w:rPr>
        <w:t>经过综合废水处理系统处理后的综合废水达到《电镀水污染物排放标准》(DB44/1597-2015)中表2排放限值要求后，部分排入流北涌汇入解放涌，部分经处理达到《城市污水再生利用-工业用水水质标准》(GB/T19923-2005)中的洗涤用水标准后可回用于生产。生活污水经过三级化粪池预处理达到广东省《水污染物排放限值》(DB44/26-2001)第二时段三级标准后进入西北污水处理厂处理后排放，对环境影响不大。</w:t>
      </w:r>
    </w:p>
    <w:p>
      <w:pPr>
        <w:pStyle w:val="3"/>
        <w:keepNext w:val="0"/>
        <w:keepLines w:val="0"/>
        <w:pageBreakBefore w:val="0"/>
        <w:widowControl w:val="0"/>
        <w:kinsoku/>
        <w:wordWrap/>
        <w:overflowPunct/>
        <w:topLinePunct w:val="0"/>
        <w:autoSpaceDE w:val="0"/>
        <w:autoSpaceDN w:val="0"/>
        <w:bidi w:val="0"/>
        <w:adjustRightInd/>
        <w:snapToGrid/>
        <w:spacing w:before="3" w:line="360" w:lineRule="auto"/>
        <w:ind w:right="169" w:firstLine="480" w:firstLineChars="200"/>
        <w:textAlignment w:val="auto"/>
        <w:rPr>
          <w:rFonts w:hint="eastAsia" w:ascii="楷体" w:hAnsi="楷体" w:eastAsia="楷体" w:cs="楷体"/>
          <w:sz w:val="24"/>
          <w:szCs w:val="24"/>
          <w:lang w:val="en-US" w:eastAsia="zh-CN"/>
        </w:rPr>
      </w:pPr>
      <w:r>
        <w:rPr>
          <w:rFonts w:hint="eastAsia" w:ascii="楷体" w:hAnsi="楷体" w:eastAsia="楷体" w:cs="楷体"/>
          <w:sz w:val="24"/>
          <w:szCs w:val="24"/>
        </w:rPr>
        <w:t xml:space="preserve"> </w:t>
      </w:r>
      <w:r>
        <w:rPr>
          <w:rFonts w:hint="eastAsia" w:ascii="楷体" w:hAnsi="楷体" w:eastAsia="楷体" w:cs="楷体"/>
          <w:sz w:val="24"/>
          <w:szCs w:val="24"/>
          <w:lang w:val="en-US" w:eastAsia="zh-CN"/>
        </w:rPr>
        <w:t>公司不管是</w:t>
      </w:r>
      <w:r>
        <w:rPr>
          <w:rFonts w:hint="eastAsia" w:ascii="楷体" w:hAnsi="楷体" w:eastAsia="楷体" w:cs="楷体"/>
          <w:sz w:val="24"/>
          <w:szCs w:val="24"/>
        </w:rPr>
        <w:t>取水、用水、耗水</w:t>
      </w:r>
      <w:r>
        <w:rPr>
          <w:rFonts w:hint="eastAsia" w:ascii="楷体" w:hAnsi="楷体" w:eastAsia="楷体" w:cs="楷体"/>
          <w:sz w:val="24"/>
          <w:szCs w:val="24"/>
          <w:lang w:val="en-US" w:eastAsia="zh-CN"/>
        </w:rPr>
        <w:t>还是</w:t>
      </w:r>
      <w:r>
        <w:rPr>
          <w:rFonts w:hint="eastAsia" w:ascii="楷体" w:hAnsi="楷体" w:eastAsia="楷体" w:cs="楷体"/>
          <w:sz w:val="24"/>
          <w:szCs w:val="24"/>
        </w:rPr>
        <w:t>排水</w:t>
      </w:r>
      <w:r>
        <w:rPr>
          <w:rFonts w:hint="eastAsia" w:ascii="楷体" w:hAnsi="楷体" w:eastAsia="楷体" w:cs="楷体"/>
          <w:sz w:val="24"/>
          <w:szCs w:val="24"/>
          <w:lang w:val="en-US" w:eastAsia="zh-CN"/>
        </w:rPr>
        <w:t>均能达到要求，所以水资源使用风险较低。</w:t>
      </w:r>
    </w:p>
    <w:p>
      <w:pPr>
        <w:pStyle w:val="2"/>
        <w:spacing w:before="52"/>
        <w:rPr>
          <w:rFonts w:hint="eastAsia" w:ascii="楷体" w:hAnsi="楷体" w:eastAsia="楷体" w:cs="楷体"/>
          <w:sz w:val="24"/>
          <w:szCs w:val="24"/>
        </w:rPr>
      </w:pPr>
      <w:r>
        <w:rPr>
          <w:rFonts w:hint="eastAsia" w:ascii="楷体" w:hAnsi="楷体" w:eastAsia="楷体" w:cs="楷体"/>
          <w:sz w:val="24"/>
          <w:szCs w:val="24"/>
        </w:rPr>
        <w:t>四、水资源风险评估</w:t>
      </w:r>
    </w:p>
    <w:p>
      <w:pPr>
        <w:pStyle w:val="3"/>
        <w:spacing w:before="212" w:line="364" w:lineRule="auto"/>
        <w:ind w:left="240" w:right="215" w:firstLine="480"/>
        <w:jc w:val="both"/>
        <w:rPr>
          <w:rFonts w:hint="eastAsia" w:ascii="楷体" w:hAnsi="楷体" w:eastAsia="楷体" w:cs="楷体"/>
          <w:sz w:val="24"/>
          <w:szCs w:val="24"/>
        </w:rPr>
      </w:pPr>
      <w:r>
        <w:rPr>
          <w:rFonts w:hint="eastAsia" w:ascii="楷体" w:hAnsi="楷体" w:eastAsia="楷体" w:cs="楷体"/>
          <w:sz w:val="24"/>
          <w:szCs w:val="24"/>
        </w:rPr>
        <w:t xml:space="preserve">通过环评报告的查阅，了解公司所处地区的水资源风险情况；通过环境影响评价和突发环境事件风险评估，确定公司生产过程和生产活动对所处地区的水环境的影响，经评估为低风险。 </w:t>
      </w:r>
    </w:p>
    <w:p>
      <w:pPr>
        <w:pStyle w:val="3"/>
        <w:spacing w:before="2" w:line="364" w:lineRule="auto"/>
        <w:ind w:left="240" w:right="98" w:firstLine="480"/>
        <w:jc w:val="both"/>
        <w:rPr>
          <w:rFonts w:hint="eastAsia" w:ascii="楷体" w:hAnsi="楷体" w:eastAsia="楷体" w:cs="楷体"/>
          <w:sz w:val="24"/>
          <w:szCs w:val="24"/>
        </w:rPr>
      </w:pPr>
      <w:r>
        <w:rPr>
          <w:rFonts w:hint="eastAsia" w:ascii="楷体" w:hAnsi="楷体" w:eastAsia="楷体" w:cs="楷体"/>
          <w:sz w:val="24"/>
          <w:szCs w:val="24"/>
        </w:rPr>
        <w:t>公司制定《污染物减排计划及目标》（包括废水、废气、固体废物、水资源消耗），识别排放废水中的污染种类，并制定对应的应急预案。每年在《可持续发展报告》中报告生产用水的来源和使用情况，通过公司网站发布生产用</w:t>
      </w:r>
      <w:r>
        <w:rPr>
          <w:rFonts w:hint="eastAsia" w:ascii="楷体" w:hAnsi="楷体" w:eastAsia="楷体" w:cs="楷体"/>
          <w:spacing w:val="-16"/>
          <w:sz w:val="24"/>
          <w:szCs w:val="24"/>
        </w:rPr>
        <w:t>水的抽取、使用和识别出来的重要水风险，以及为减缓这些风险而贯彻的措施。</w:t>
      </w:r>
      <w:r>
        <w:rPr>
          <w:rFonts w:hint="eastAsia" w:ascii="楷体" w:hAnsi="楷体" w:eastAsia="楷体" w:cs="楷体"/>
          <w:sz w:val="24"/>
          <w:szCs w:val="24"/>
        </w:rPr>
        <w:t xml:space="preserve"> </w:t>
      </w:r>
    </w:p>
    <w:p>
      <w:pPr>
        <w:pStyle w:val="2"/>
        <w:spacing w:before="52"/>
        <w:ind w:left="600"/>
        <w:rPr>
          <w:rFonts w:hint="eastAsia" w:ascii="楷体" w:hAnsi="楷体" w:eastAsia="楷体" w:cs="楷体"/>
          <w:sz w:val="24"/>
          <w:szCs w:val="24"/>
        </w:rPr>
      </w:pPr>
      <w:r>
        <w:rPr>
          <w:rFonts w:hint="eastAsia" w:ascii="楷体" w:hAnsi="楷体" w:eastAsia="楷体" w:cs="楷体"/>
          <w:sz w:val="24"/>
          <w:szCs w:val="24"/>
        </w:rPr>
        <w:t>综上所述，本公司用水资源实质性风险为低风险。</w:t>
      </w:r>
    </w:p>
    <w:p>
      <w:pPr>
        <w:pStyle w:val="3"/>
        <w:rPr>
          <w:rFonts w:hint="eastAsia" w:ascii="楷体" w:hAnsi="楷体" w:eastAsia="楷体" w:cs="楷体"/>
          <w:b/>
          <w:sz w:val="24"/>
          <w:szCs w:val="24"/>
        </w:rPr>
      </w:pPr>
    </w:p>
    <w:p>
      <w:pPr>
        <w:pStyle w:val="3"/>
        <w:spacing w:before="1"/>
        <w:ind w:right="218"/>
        <w:jc w:val="right"/>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广东坚美铝型材厂（集团）有限公司</w:t>
      </w:r>
    </w:p>
    <w:p>
      <w:pPr>
        <w:pStyle w:val="3"/>
        <w:ind w:right="215"/>
        <w:jc w:val="right"/>
        <w:rPr>
          <w:rFonts w:hint="eastAsia" w:ascii="楷体" w:hAnsi="楷体" w:eastAsia="楷体" w:cs="楷体"/>
          <w:sz w:val="24"/>
          <w:szCs w:val="24"/>
        </w:rPr>
      </w:pPr>
      <w:r>
        <w:rPr>
          <w:rFonts w:hint="eastAsia" w:ascii="楷体" w:hAnsi="楷体" w:eastAsia="楷体" w:cs="楷体"/>
          <w:sz w:val="24"/>
          <w:szCs w:val="24"/>
        </w:rPr>
        <w:t xml:space="preserve">2025 年 </w:t>
      </w:r>
      <w:r>
        <w:rPr>
          <w:rFonts w:hint="eastAsia" w:ascii="楷体" w:hAnsi="楷体" w:eastAsia="楷体" w:cs="楷体"/>
          <w:sz w:val="24"/>
          <w:szCs w:val="24"/>
          <w:lang w:val="en-US" w:eastAsia="zh-CN"/>
        </w:rPr>
        <w:t>10</w:t>
      </w:r>
      <w:r>
        <w:rPr>
          <w:rFonts w:hint="eastAsia" w:ascii="楷体" w:hAnsi="楷体" w:eastAsia="楷体" w:cs="楷体"/>
          <w:sz w:val="24"/>
          <w:szCs w:val="24"/>
        </w:rPr>
        <w:t xml:space="preserve"> 月 </w:t>
      </w:r>
      <w:r>
        <w:rPr>
          <w:rFonts w:hint="eastAsia" w:ascii="楷体" w:hAnsi="楷体" w:eastAsia="楷体" w:cs="楷体"/>
          <w:sz w:val="24"/>
          <w:szCs w:val="24"/>
          <w:lang w:val="en-US" w:eastAsia="zh-CN"/>
        </w:rPr>
        <w:t>16</w:t>
      </w:r>
      <w:r>
        <w:rPr>
          <w:rFonts w:hint="eastAsia" w:ascii="楷体" w:hAnsi="楷体" w:eastAsia="楷体" w:cs="楷体"/>
          <w:spacing w:val="-15"/>
          <w:sz w:val="24"/>
          <w:szCs w:val="24"/>
        </w:rPr>
        <w:t xml:space="preserve"> 日</w:t>
      </w:r>
    </w:p>
    <w:sectPr>
      <w:headerReference r:id="rId3" w:type="default"/>
      <w:pgSz w:w="11910" w:h="16840"/>
      <w:pgMar w:top="1740" w:right="1580" w:bottom="1298" w:left="1680" w:header="901"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589632" behindDoc="1" locked="0" layoutInCell="1" allowOverlap="1">
              <wp:simplePos x="0" y="0"/>
              <wp:positionH relativeFrom="page">
                <wp:posOffset>2162175</wp:posOffset>
              </wp:positionH>
              <wp:positionV relativeFrom="page">
                <wp:posOffset>558800</wp:posOffset>
              </wp:positionV>
              <wp:extent cx="3683000" cy="513080"/>
              <wp:effectExtent l="0" t="0" r="0" b="0"/>
              <wp:wrapNone/>
              <wp:docPr id="3" name="文本框 2"/>
              <wp:cNvGraphicFramePr/>
              <a:graphic xmlns:a="http://schemas.openxmlformats.org/drawingml/2006/main">
                <a:graphicData uri="http://schemas.microsoft.com/office/word/2010/wordprocessingShape">
                  <wps:wsp>
                    <wps:cNvSpPr txBox="1"/>
                    <wps:spPr>
                      <a:xfrm>
                        <a:off x="0" y="0"/>
                        <a:ext cx="3683000" cy="513080"/>
                      </a:xfrm>
                      <a:prstGeom prst="rect">
                        <a:avLst/>
                      </a:prstGeom>
                      <a:noFill/>
                      <a:ln>
                        <a:noFill/>
                      </a:ln>
                    </wps:spPr>
                    <wps:txbx>
                      <w:txbxContent>
                        <w:p>
                          <w:pPr>
                            <w:spacing w:before="0" w:line="403" w:lineRule="exact"/>
                            <w:ind w:left="20" w:right="0" w:firstLine="0"/>
                            <w:jc w:val="center"/>
                            <w:rPr>
                              <w:rFonts w:hint="eastAsia" w:ascii="楷体" w:hAnsi="楷体" w:eastAsia="楷体" w:cs="楷体"/>
                              <w:b/>
                              <w:sz w:val="32"/>
                            </w:rPr>
                          </w:pPr>
                          <w:r>
                            <w:rPr>
                              <w:rFonts w:hint="eastAsia" w:ascii="楷体" w:hAnsi="楷体" w:eastAsia="楷体" w:cs="楷体"/>
                              <w:b/>
                              <w:sz w:val="32"/>
                            </w:rPr>
                            <w:t>广东</w:t>
                          </w:r>
                          <w:r>
                            <w:rPr>
                              <w:rFonts w:hint="eastAsia" w:ascii="楷体" w:hAnsi="楷体" w:eastAsia="楷体" w:cs="楷体"/>
                              <w:b/>
                              <w:sz w:val="32"/>
                              <w:lang w:val="en-US" w:eastAsia="zh-CN"/>
                            </w:rPr>
                            <w:t>坚美铝型材厂（集团）</w:t>
                          </w:r>
                          <w:r>
                            <w:rPr>
                              <w:rFonts w:hint="eastAsia" w:ascii="楷体" w:hAnsi="楷体" w:eastAsia="楷体" w:cs="楷体"/>
                              <w:b/>
                              <w:sz w:val="32"/>
                            </w:rPr>
                            <w:t>有限公司</w:t>
                          </w:r>
                        </w:p>
                        <w:p>
                          <w:pPr>
                            <w:spacing w:before="0" w:line="404" w:lineRule="exact"/>
                            <w:ind w:left="178" w:right="0" w:firstLine="0"/>
                            <w:jc w:val="center"/>
                            <w:rPr>
                              <w:rFonts w:hint="eastAsia" w:ascii="楷体" w:hAnsi="楷体" w:eastAsia="楷体" w:cs="楷体"/>
                              <w:b/>
                              <w:sz w:val="32"/>
                            </w:rPr>
                          </w:pPr>
                          <w:r>
                            <w:rPr>
                              <w:rFonts w:hint="eastAsia" w:ascii="楷体" w:hAnsi="楷体" w:eastAsia="楷体" w:cs="楷体"/>
                              <w:b/>
                              <w:sz w:val="32"/>
                            </w:rPr>
                            <w:t>水资源风险评估报告</w:t>
                          </w:r>
                        </w:p>
                      </w:txbxContent>
                    </wps:txbx>
                    <wps:bodyPr lIns="0" tIns="0" rIns="0" bIns="0" upright="1"/>
                  </wps:wsp>
                </a:graphicData>
              </a:graphic>
            </wp:anchor>
          </w:drawing>
        </mc:Choice>
        <mc:Fallback>
          <w:pict>
            <v:shape id="文本框 2" o:spid="_x0000_s1026" o:spt="202" type="#_x0000_t202" style="position:absolute;left:0pt;margin-left:170.25pt;margin-top:44pt;height:40.4pt;width:290pt;mso-position-horizontal-relative:page;mso-position-vertical-relative:page;z-index:-251726848;mso-width-relative:page;mso-height-relative:page;" filled="f" stroked="f" coordsize="21600,21600" o:gfxdata="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leGxw2AAAAAoBAAAPAAAAAAAAAAEAIAAAACIAAABkcnMvZG93bnJldi54bWxQSwEC&#10;FAAUAAAACACHTuJA8/grOLsBAAByAwAADgAAAAAAAAABACAAAAAnAQAAZHJzL2Uyb0RvYy54bWxQ&#10;SwUGAAAAAAYABgBZAQAAVAUAAAAA&#10;">
              <v:fill on="f" focussize="0,0"/>
              <v:stroke on="f"/>
              <v:imagedata o:title=""/>
              <o:lock v:ext="edit" aspectratio="f"/>
              <v:textbox inset="0mm,0mm,0mm,0mm">
                <w:txbxContent>
                  <w:p>
                    <w:pPr>
                      <w:spacing w:before="0" w:line="403" w:lineRule="exact"/>
                      <w:ind w:left="20" w:right="0" w:firstLine="0"/>
                      <w:jc w:val="center"/>
                      <w:rPr>
                        <w:rFonts w:hint="eastAsia" w:ascii="楷体" w:hAnsi="楷体" w:eastAsia="楷体" w:cs="楷体"/>
                        <w:b/>
                        <w:sz w:val="32"/>
                      </w:rPr>
                    </w:pPr>
                    <w:r>
                      <w:rPr>
                        <w:rFonts w:hint="eastAsia" w:ascii="楷体" w:hAnsi="楷体" w:eastAsia="楷体" w:cs="楷体"/>
                        <w:b/>
                        <w:sz w:val="32"/>
                      </w:rPr>
                      <w:t>广东</w:t>
                    </w:r>
                    <w:r>
                      <w:rPr>
                        <w:rFonts w:hint="eastAsia" w:ascii="楷体" w:hAnsi="楷体" w:eastAsia="楷体" w:cs="楷体"/>
                        <w:b/>
                        <w:sz w:val="32"/>
                        <w:lang w:val="en-US" w:eastAsia="zh-CN"/>
                      </w:rPr>
                      <w:t>坚美铝型材厂（集团）</w:t>
                    </w:r>
                    <w:r>
                      <w:rPr>
                        <w:rFonts w:hint="eastAsia" w:ascii="楷体" w:hAnsi="楷体" w:eastAsia="楷体" w:cs="楷体"/>
                        <w:b/>
                        <w:sz w:val="32"/>
                      </w:rPr>
                      <w:t>有限公司</w:t>
                    </w:r>
                  </w:p>
                  <w:p>
                    <w:pPr>
                      <w:spacing w:before="0" w:line="404" w:lineRule="exact"/>
                      <w:ind w:left="178" w:right="0" w:firstLine="0"/>
                      <w:jc w:val="center"/>
                      <w:rPr>
                        <w:rFonts w:hint="eastAsia" w:ascii="楷体" w:hAnsi="楷体" w:eastAsia="楷体" w:cs="楷体"/>
                        <w:b/>
                        <w:sz w:val="32"/>
                      </w:rPr>
                    </w:pPr>
                    <w:r>
                      <w:rPr>
                        <w:rFonts w:hint="eastAsia" w:ascii="楷体" w:hAnsi="楷体" w:eastAsia="楷体" w:cs="楷体"/>
                        <w:b/>
                        <w:sz w:val="32"/>
                      </w:rPr>
                      <w:t>水资源风险评估报告</w:t>
                    </w:r>
                  </w:p>
                </w:txbxContent>
              </v:textbox>
            </v:shape>
          </w:pict>
        </mc:Fallback>
      </mc:AlternateContent>
    </w:r>
    <w:r>
      <mc:AlternateContent>
        <mc:Choice Requires="wps">
          <w:drawing>
            <wp:anchor distT="0" distB="0" distL="114300" distR="114300" simplePos="0" relativeHeight="251588608" behindDoc="1" locked="0" layoutInCell="1" allowOverlap="1">
              <wp:simplePos x="0" y="0"/>
              <wp:positionH relativeFrom="page">
                <wp:posOffset>1124585</wp:posOffset>
              </wp:positionH>
              <wp:positionV relativeFrom="page">
                <wp:posOffset>1107440</wp:posOffset>
              </wp:positionV>
              <wp:extent cx="5311140" cy="0"/>
              <wp:effectExtent l="0" t="0" r="0" b="0"/>
              <wp:wrapNone/>
              <wp:docPr id="2" name="直线 1"/>
              <wp:cNvGraphicFramePr/>
              <a:graphic xmlns:a="http://schemas.openxmlformats.org/drawingml/2006/main">
                <a:graphicData uri="http://schemas.microsoft.com/office/word/2010/wordprocessingShape">
                  <wps:wsp>
                    <wps:cNvCnPr/>
                    <wps:spPr>
                      <a:xfrm>
                        <a:off x="0" y="0"/>
                        <a:ext cx="531114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88.55pt;margin-top:87.2pt;height:0pt;width:418.2pt;mso-position-horizontal-relative:page;mso-position-vertical-relative:page;z-index:-251727872;mso-width-relative:page;mso-height-relative:page;" filled="f" stroked="t" coordsize="21600,21600" o:gfxdata="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k6UUb1gAA&#10;AAwBAAAPAAAAAAAAAAEAIAAAACIAAABkcnMvZG93bnJldi54bWxQSwECFAAUAAAACACHTuJAOuaX&#10;AucBAADbAwAADgAAAAAAAAABACAAAAAlAQAAZHJzL2Uyb0RvYy54bWxQSwUGAAAAAAYABgBZAQAA&#10;fgUAAAAA&#10;">
              <v:fill on="f" focussize="0,0"/>
              <v:stroke weight="0.72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1F0638"/>
    <w:rsid w:val="0DF02E1D"/>
    <w:rsid w:val="4A616303"/>
    <w:rsid w:val="50421324"/>
    <w:rsid w:val="516F6518"/>
    <w:rsid w:val="520033C1"/>
    <w:rsid w:val="534E6A46"/>
    <w:rsid w:val="554B65B5"/>
    <w:rsid w:val="6D6B3C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qFormat/>
    <w:uiPriority w:val="1"/>
    <w:pPr>
      <w:spacing w:before="2"/>
      <w:ind w:left="120"/>
      <w:outlineLvl w:val="1"/>
    </w:pPr>
    <w:rPr>
      <w:rFonts w:ascii="宋体" w:hAnsi="宋体" w:eastAsia="宋体" w:cs="宋体"/>
      <w:b/>
      <w:bCs/>
      <w:sz w:val="24"/>
      <w:szCs w:val="24"/>
    </w:rPr>
  </w:style>
  <w:style w:type="character" w:default="1" w:styleId="7">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4"/>
      <w:szCs w:val="24"/>
    </w:rPr>
  </w:style>
  <w:style w:type="paragraph" w:styleId="4">
    <w:name w:val="footer"/>
    <w:basedOn w:val="1"/>
    <w:uiPriority w:val="0"/>
    <w:pPr>
      <w:tabs>
        <w:tab w:val="center" w:pos="4153"/>
        <w:tab w:val="right" w:pos="8306"/>
      </w:tabs>
      <w:snapToGrid w:val="0"/>
      <w:jc w:val="left"/>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
      <w:ind w:left="120" w:firstLine="482"/>
      <w:jc w:val="both"/>
    </w:pPr>
    <w:rPr>
      <w:rFonts w:ascii="宋体" w:hAnsi="宋体" w:eastAsia="宋体" w:cs="宋体"/>
    </w:rPr>
  </w:style>
  <w:style w:type="paragraph" w:customStyle="1" w:styleId="10">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2025-09-08T06:22:00Z</dcterms:created>
  <dc:creator>Administrator</dc:creator>
  <cp:lastModifiedBy>JM018169</cp:lastModifiedBy>
  <dcterms:modified xsi:type="dcterms:W3CDTF">2025-10-21T01:34:30Z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2025-06-09T00:00:00Z</vt:filetime>
  </property>
  <property fmtid="{D5CDD505-2E9C-101B-9397-08002B2CF9AE}" pid="3" name="Creator">
    <vt:lpwstr>Acrobat PDFMaker 23 Word 版</vt:lpwstr>
  </property>
  <property fmtid="{D5CDD505-2E9C-101B-9397-08002B2CF9AE}" pid="4" name="LastSaved">
    <vt:filetime>2025-09-08T00:00:00Z</vt:filetime>
  </property>
  <property fmtid="{D5CDD505-2E9C-101B-9397-08002B2CF9AE}" pid="5" name="KSOProductBuildVer">
    <vt:lpwstr>2052-11.1.0.10314</vt:lpwstr>
  </property>
</Properties>
</file>